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4A0" w:firstRow="1" w:lastRow="0" w:firstColumn="1" w:lastColumn="0" w:noHBand="0" w:noVBand="1"/>
      </w:tblPr>
      <w:tblGrid>
        <w:gridCol w:w="3085"/>
        <w:gridCol w:w="6095"/>
      </w:tblGrid>
      <w:tr w:rsidR="004F70DC">
        <w:tc>
          <w:tcPr>
            <w:tcW w:w="3085" w:type="dxa"/>
            <w:shd w:val="clear" w:color="auto" w:fill="auto"/>
          </w:tcPr>
          <w:p w:rsidR="004F70DC" w:rsidRDefault="00D00EFD">
            <w:pPr>
              <w:pStyle w:val="Heading1"/>
              <w:keepNext w:val="0"/>
              <w:widowControl w:val="0"/>
              <w:spacing w:line="200" w:lineRule="atLeast"/>
              <w:ind w:right="18" w:firstLine="0"/>
              <w:rPr>
                <w:rFonts w:ascii="Times New Roman" w:hAnsi="Times New Roman"/>
                <w:bCs/>
                <w:sz w:val="26"/>
                <w:szCs w:val="26"/>
                <w:lang w:val="nl-NL"/>
              </w:rPr>
            </w:pPr>
            <w:bookmarkStart w:id="0" w:name="chuong_pl_3_name"/>
            <w:bookmarkStart w:id="1" w:name="_GoBack"/>
            <w:bookmarkEnd w:id="1"/>
            <w:r>
              <w:rPr>
                <w:rFonts w:ascii="Times New Roman" w:hAnsi="Times New Roman"/>
                <w:bCs/>
                <w:sz w:val="26"/>
                <w:szCs w:val="26"/>
                <w:lang w:val="nl-NL"/>
              </w:rPr>
              <w:t>ỦY BAN NHÂN DÂN</w:t>
            </w:r>
            <w:r>
              <w:rPr>
                <w:rFonts w:ascii="Times New Roman" w:hAnsi="Times New Roman"/>
                <w:bCs/>
                <w:sz w:val="26"/>
                <w:szCs w:val="26"/>
                <w:lang w:val="nl-NL"/>
              </w:rPr>
              <w:br/>
              <w:t>TỈNH THANH HÓA</w:t>
            </w:r>
          </w:p>
          <w:p w:rsidR="004F70DC" w:rsidRDefault="00D00EFD">
            <w:pPr>
              <w:widowControl w:val="0"/>
              <w:jc w:val="center"/>
              <w:rPr>
                <w:b/>
                <w:sz w:val="20"/>
                <w:lang w:val="nl-NL"/>
              </w:rPr>
            </w:pPr>
            <w:r>
              <w:rPr>
                <w:bCs/>
                <w:noProof/>
                <w:sz w:val="26"/>
                <w:szCs w:val="26"/>
                <w:lang w:val="en-US"/>
              </w:rPr>
              <mc:AlternateContent>
                <mc:Choice Requires="wps">
                  <w:drawing>
                    <wp:anchor distT="0" distB="0" distL="114300" distR="114300" simplePos="0" relativeHeight="251654144" behindDoc="0" locked="0" layoutInCell="1" allowOverlap="1">
                      <wp:simplePos x="0" y="0"/>
                      <wp:positionH relativeFrom="column">
                        <wp:posOffset>469426</wp:posOffset>
                      </wp:positionH>
                      <wp:positionV relativeFrom="paragraph">
                        <wp:posOffset>20320</wp:posOffset>
                      </wp:positionV>
                      <wp:extent cx="792480" cy="0"/>
                      <wp:effectExtent l="0" t="0" r="2667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2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6pt" to="99.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zZ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"/>
                  </w:pict>
                </mc:Fallback>
              </mc:AlternateContent>
            </w:r>
          </w:p>
        </w:tc>
        <w:tc>
          <w:tcPr>
            <w:tcW w:w="6095" w:type="dxa"/>
            <w:shd w:val="clear" w:color="auto" w:fill="auto"/>
          </w:tcPr>
          <w:p w:rsidR="004F70DC" w:rsidRDefault="00D00EFD">
            <w:pPr>
              <w:pStyle w:val="Heading1"/>
              <w:keepNext w:val="0"/>
              <w:widowControl w:val="0"/>
              <w:ind w:right="-18" w:firstLine="0"/>
              <w:rPr>
                <w:rFonts w:ascii="Times New Roman" w:hAnsi="Times New Roman"/>
                <w:bCs/>
                <w:sz w:val="26"/>
                <w:szCs w:val="26"/>
                <w:lang w:val="nl-NL"/>
              </w:rPr>
            </w:pPr>
            <w:r>
              <w:rPr>
                <w:rFonts w:ascii="Times New Roman" w:hAnsi="Times New Roman"/>
                <w:bCs/>
                <w:sz w:val="26"/>
                <w:szCs w:val="26"/>
                <w:lang w:val="nl-NL"/>
              </w:rPr>
              <w:t>CỘNG HOÀ XÃ HỘI CHỦ NGHĨA VIỆT NAM</w:t>
            </w:r>
          </w:p>
          <w:p w:rsidR="004F70DC" w:rsidRDefault="00D00EFD">
            <w:pPr>
              <w:widowControl w:val="0"/>
              <w:jc w:val="center"/>
              <w:rPr>
                <w:b/>
                <w:bCs/>
                <w:lang w:val="nl-NL"/>
              </w:rPr>
            </w:pPr>
            <w:r>
              <w:rPr>
                <w:b/>
                <w:bCs/>
                <w:lang w:val="nl-NL"/>
              </w:rPr>
              <w:t>Độc lập - Tự do - Hạnh phúc</w:t>
            </w:r>
          </w:p>
          <w:p w:rsidR="004F70DC" w:rsidRDefault="00D00EFD">
            <w:pPr>
              <w:widowControl w:val="0"/>
              <w:rPr>
                <w:b/>
                <w:bCs/>
                <w:sz w:val="20"/>
                <w:lang w:val="nl-NL"/>
              </w:rPr>
            </w:pPr>
            <w:r>
              <w:rPr>
                <w:noProof/>
                <w:sz w:val="20"/>
                <w:lang w:val="en-US"/>
              </w:rPr>
              <mc:AlternateContent>
                <mc:Choice Requires="wps">
                  <w:drawing>
                    <wp:anchor distT="0" distB="0" distL="114300" distR="114300" simplePos="0" relativeHeight="251655168" behindDoc="0" locked="0" layoutInCell="1" allowOverlap="1">
                      <wp:simplePos x="0" y="0"/>
                      <wp:positionH relativeFrom="column">
                        <wp:posOffset>891445</wp:posOffset>
                      </wp:positionH>
                      <wp:positionV relativeFrom="paragraph">
                        <wp:posOffset>11515</wp:posOffset>
                      </wp:positionV>
                      <wp:extent cx="1966500" cy="0"/>
                      <wp:effectExtent l="0" t="0" r="15240" b="1905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2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9pt" to="22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gl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"/>
                  </w:pict>
                </mc:Fallback>
              </mc:AlternateContent>
            </w:r>
          </w:p>
        </w:tc>
      </w:tr>
      <w:tr w:rsidR="004F70DC">
        <w:tc>
          <w:tcPr>
            <w:tcW w:w="3085" w:type="dxa"/>
            <w:shd w:val="clear" w:color="auto" w:fill="auto"/>
          </w:tcPr>
          <w:p w:rsidR="004F70DC" w:rsidRDefault="00D00EFD">
            <w:pPr>
              <w:pStyle w:val="Heading1"/>
              <w:keepNext w:val="0"/>
              <w:widowControl w:val="0"/>
              <w:ind w:right="17" w:firstLine="0"/>
              <w:rPr>
                <w:rFonts w:ascii="Times New Roman" w:hAnsi="Times New Roman"/>
                <w:b w:val="0"/>
                <w:bCs/>
                <w:sz w:val="26"/>
                <w:szCs w:val="26"/>
                <w:lang w:val="nl-NL"/>
              </w:rPr>
            </w:pPr>
            <w:r>
              <w:rPr>
                <w:rFonts w:ascii="Times New Roman" w:hAnsi="Times New Roman"/>
                <w:b w:val="0"/>
                <w:bCs/>
                <w:sz w:val="26"/>
                <w:szCs w:val="26"/>
                <w:lang w:val="nl-NL"/>
              </w:rPr>
              <w:t xml:space="preserve">Số:   </w:t>
            </w:r>
            <w:r>
              <w:rPr>
                <w:rFonts w:ascii="Times New Roman" w:hAnsi="Times New Roman"/>
                <w:b w:val="0"/>
                <w:bCs/>
                <w:sz w:val="26"/>
                <w:szCs w:val="26"/>
              </w:rPr>
              <w:t xml:space="preserve">      </w:t>
            </w:r>
            <w:r>
              <w:rPr>
                <w:rFonts w:ascii="Times New Roman" w:hAnsi="Times New Roman"/>
                <w:b w:val="0"/>
                <w:bCs/>
                <w:sz w:val="26"/>
                <w:szCs w:val="26"/>
                <w:lang w:val="nl-NL"/>
              </w:rPr>
              <w:t>/2025/QĐ-UBND</w:t>
            </w:r>
          </w:p>
        </w:tc>
        <w:tc>
          <w:tcPr>
            <w:tcW w:w="6095" w:type="dxa"/>
            <w:shd w:val="clear" w:color="auto" w:fill="auto"/>
          </w:tcPr>
          <w:p w:rsidR="004F70DC" w:rsidRDefault="00D00EFD">
            <w:pPr>
              <w:pStyle w:val="Heading1"/>
              <w:keepNext w:val="0"/>
              <w:widowControl w:val="0"/>
              <w:ind w:right="-17" w:firstLine="0"/>
              <w:rPr>
                <w:rFonts w:ascii="Times New Roman" w:hAnsi="Times New Roman"/>
                <w:b w:val="0"/>
                <w:bCs/>
                <w:szCs w:val="28"/>
                <w:lang w:val="nl-NL"/>
              </w:rPr>
            </w:pPr>
            <w:r>
              <w:rPr>
                <w:rFonts w:ascii="Times New Roman" w:hAnsi="Times New Roman"/>
                <w:b w:val="0"/>
                <w:bCs/>
                <w:i/>
                <w:szCs w:val="28"/>
              </w:rPr>
              <w:t xml:space="preserve">       </w:t>
            </w:r>
            <w:r>
              <w:rPr>
                <w:rFonts w:ascii="Times New Roman" w:hAnsi="Times New Roman"/>
                <w:b w:val="0"/>
                <w:bCs/>
                <w:i/>
                <w:szCs w:val="28"/>
                <w:lang w:val="nl-NL"/>
              </w:rPr>
              <w:t>Thanh Hoá, ngày      tháng     năm 2025</w:t>
            </w:r>
          </w:p>
        </w:tc>
      </w:tr>
    </w:tbl>
    <w:bookmarkEnd w:id="0"/>
    <w:p w:rsidR="004F70DC" w:rsidRDefault="00D00EFD">
      <w:pPr>
        <w:pStyle w:val="BodyTextIndent2"/>
        <w:widowControl w:val="0"/>
        <w:spacing w:before="480" w:after="0" w:line="240" w:lineRule="auto"/>
        <w:ind w:left="0"/>
        <w:jc w:val="center"/>
        <w:rPr>
          <w:b/>
          <w:bCs/>
          <w:lang w:val="nl-NL"/>
        </w:rPr>
      </w:pPr>
      <w:r>
        <w:rPr>
          <w:b/>
          <w:bCs/>
          <w:noProof/>
          <w:lang w:val="en-US"/>
        </w:rPr>
        <mc:AlternateContent>
          <mc:Choice Requires="wps">
            <w:drawing>
              <wp:anchor distT="0" distB="0" distL="114300" distR="114300" simplePos="0" relativeHeight="251656192" behindDoc="0" locked="0" layoutInCell="1" allowOverlap="1">
                <wp:simplePos x="0" y="0"/>
                <wp:positionH relativeFrom="column">
                  <wp:posOffset>-565150</wp:posOffset>
                </wp:positionH>
                <wp:positionV relativeFrom="paragraph">
                  <wp:posOffset>41085</wp:posOffset>
                </wp:positionV>
                <wp:extent cx="1009291" cy="327804"/>
                <wp:effectExtent l="0" t="0" r="19685" b="15240"/>
                <wp:wrapNone/>
                <wp:docPr id="4" name="Text Box 4"/>
                <wp:cNvGraphicFramePr/>
                <a:graphic xmlns:a="http://schemas.openxmlformats.org/drawingml/2006/main">
                  <a:graphicData uri="http://schemas.microsoft.com/office/word/2010/wordprocessingShape">
                    <wps:wsp>
                      <wps:cNvSpPr txBox="1"/>
                      <wps:spPr>
                        <a:xfrm>
                          <a:off x="0" y="0"/>
                          <a:ext cx="1009291" cy="327804"/>
                        </a:xfrm>
                        <a:prstGeom prst="rect">
                          <a:avLst/>
                        </a:prstGeom>
                        <a:solidFill>
                          <a:schemeClr val="lt1"/>
                        </a:solidFill>
                        <a:ln w="6350">
                          <a:solidFill>
                            <a:prstClr val="black"/>
                          </a:solidFill>
                        </a:ln>
                      </wps:spPr>
                      <wps:txbx>
                        <w:txbxContent>
                          <w:p w:rsidR="004F70DC" w:rsidRDefault="00D00EFD">
                            <w:pPr>
                              <w:rPr>
                                <w:lang w:val="en-US"/>
                              </w:rPr>
                            </w:pPr>
                            <w:r>
                              <w:rPr>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44.5pt;margin-top:3.25pt;width:79.45pt;height:25.8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" fillcolor="white [3201]" strokeweight=".5pt">
                <v:textbox>
                  <w:txbxContent>
                    <w:p>
                      <w:pPr>
                        <w:rPr>
                          <w:lang w:val="en-US"/>
                        </w:rPr>
                      </w:pPr>
                      <w:r>
                        <w:rPr>
                          <w:lang w:val="en-US"/>
                        </w:rPr>
                        <w:t>DỰ THẢO</w:t>
                      </w:r>
                    </w:p>
                  </w:txbxContent>
                </v:textbox>
              </v:shape>
            </w:pict>
          </mc:Fallback>
        </mc:AlternateContent>
      </w:r>
      <w:r>
        <w:rPr>
          <w:b/>
          <w:bCs/>
          <w:lang w:val="nl-NL"/>
        </w:rPr>
        <w:t>QUYẾT ĐỊNH</w:t>
      </w:r>
    </w:p>
    <w:p w:rsidR="004F70DC" w:rsidRDefault="00D00EFD">
      <w:pPr>
        <w:pStyle w:val="BodyTextIndent2"/>
        <w:widowControl w:val="0"/>
        <w:spacing w:line="240" w:lineRule="auto"/>
        <w:ind w:left="0" w:right="2"/>
        <w:jc w:val="center"/>
        <w:rPr>
          <w:b/>
        </w:rPr>
      </w:pPr>
      <w:r>
        <w:rPr>
          <w:b/>
          <w:bCs/>
          <w:noProof/>
          <w:lang w:val="en-US"/>
        </w:rPr>
        <mc:AlternateContent>
          <mc:Choice Requires="wps">
            <w:drawing>
              <wp:anchor distT="0" distB="0" distL="114300" distR="114300" simplePos="0" relativeHeight="251661312" behindDoc="0" locked="0" layoutInCell="1" allowOverlap="1">
                <wp:simplePos x="0" y="0"/>
                <wp:positionH relativeFrom="margin">
                  <wp:posOffset>1991995</wp:posOffset>
                </wp:positionH>
                <wp:positionV relativeFrom="paragraph">
                  <wp:posOffset>476723</wp:posOffset>
                </wp:positionV>
                <wp:extent cx="176593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1765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id="Straight Connector 6"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6.85pt,37.55pt" to="295.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" strokecolor="black [3200]" strokeweight=".5pt">
                <v:stroke joinstyle="miter"/>
                <w10:wrap anchorx="margin"/>
              </v:line>
            </w:pict>
          </mc:Fallback>
        </mc:AlternateContent>
      </w:r>
      <w:r>
        <w:rPr>
          <w:b/>
        </w:rPr>
        <w:t>Về việc phân cấp thẩm định Báo cáo nghiên cứu khả thi đầu tư xây dựng và thiết kế xây dựng triển khai sau thiết kế cơ sở trên địa bàn tỉnhThanh Hóa</w:t>
      </w:r>
    </w:p>
    <w:p w:rsidR="004F70DC" w:rsidRDefault="004F70DC">
      <w:pPr>
        <w:pStyle w:val="BodyTextIndent2"/>
        <w:widowControl w:val="0"/>
        <w:spacing w:line="240" w:lineRule="auto"/>
        <w:ind w:left="0" w:right="2"/>
        <w:rPr>
          <w:b/>
        </w:rPr>
      </w:pPr>
    </w:p>
    <w:p w:rsidR="004F70DC" w:rsidRDefault="00D00EFD">
      <w:pPr>
        <w:widowControl w:val="0"/>
        <w:spacing w:before="360" w:after="240" w:line="360" w:lineRule="auto"/>
        <w:ind w:firstLine="720"/>
        <w:jc w:val="center"/>
        <w:rPr>
          <w:b/>
          <w:bCs/>
          <w:lang w:val="nl-NL"/>
        </w:rPr>
      </w:pPr>
      <w:r>
        <w:rPr>
          <w:b/>
          <w:bCs/>
          <w:lang w:val="nl-NL"/>
        </w:rPr>
        <w:t>ỦY BAN NHÂN DÂN TỈNH THANH HÓA</w:t>
      </w:r>
    </w:p>
    <w:p w:rsidR="004F70DC" w:rsidRDefault="00D00EFD">
      <w:pPr>
        <w:widowControl w:val="0"/>
        <w:spacing w:after="120" w:line="276" w:lineRule="auto"/>
        <w:ind w:firstLine="720"/>
        <w:rPr>
          <w:i/>
          <w:iCs/>
        </w:rPr>
      </w:pPr>
      <w:r>
        <w:rPr>
          <w:i/>
          <w:iCs/>
        </w:rPr>
        <w:t>Căn cứ Luật tổ chức chính quyền địa phương ngày 19</w:t>
      </w:r>
      <w:r>
        <w:rPr>
          <w:i/>
          <w:iCs/>
          <w:lang w:val="en-US"/>
        </w:rPr>
        <w:t xml:space="preserve"> tháng 02 năm </w:t>
      </w:r>
      <w:r>
        <w:rPr>
          <w:i/>
          <w:iCs/>
        </w:rPr>
        <w:t>20</w:t>
      </w:r>
      <w:r>
        <w:rPr>
          <w:i/>
          <w:iCs/>
          <w:lang w:val="en-US"/>
        </w:rPr>
        <w:t>2</w:t>
      </w:r>
      <w:r>
        <w:rPr>
          <w:i/>
          <w:iCs/>
        </w:rPr>
        <w:t>5;</w:t>
      </w:r>
    </w:p>
    <w:p w:rsidR="004F70DC" w:rsidRDefault="00D00EFD">
      <w:pPr>
        <w:widowControl w:val="0"/>
        <w:spacing w:after="120" w:line="276" w:lineRule="auto"/>
        <w:ind w:firstLine="720"/>
        <w:rPr>
          <w:i/>
          <w:iCs/>
        </w:rPr>
      </w:pPr>
      <w:r>
        <w:rPr>
          <w:i/>
          <w:lang w:val="en-US"/>
        </w:rPr>
        <w:t xml:space="preserve">Căn cứ </w:t>
      </w:r>
      <w:r>
        <w:rPr>
          <w:i/>
        </w:rPr>
        <w:t xml:space="preserve">Luật Ban hành văn bản quy phạm pháp luật </w:t>
      </w:r>
      <w:r>
        <w:rPr>
          <w:i/>
          <w:lang w:val="en-US"/>
        </w:rPr>
        <w:t xml:space="preserve">ngày 22 tháng 6 </w:t>
      </w:r>
      <w:r>
        <w:rPr>
          <w:i/>
        </w:rPr>
        <w:t>năm 2015; Luật sửa đổi, bổ sung một số điều của Luật Ban hành văn bản quy phạm pháp luật</w:t>
      </w:r>
      <w:r>
        <w:rPr>
          <w:i/>
          <w:lang w:val="en-US"/>
        </w:rPr>
        <w:t xml:space="preserve"> ngày 18 tháng 6</w:t>
      </w:r>
      <w:r>
        <w:rPr>
          <w:i/>
        </w:rPr>
        <w:t xml:space="preserve"> năm 2020;</w:t>
      </w:r>
    </w:p>
    <w:p w:rsidR="004F70DC" w:rsidRDefault="00D00EFD">
      <w:pPr>
        <w:widowControl w:val="0"/>
        <w:spacing w:after="120" w:line="276" w:lineRule="auto"/>
        <w:ind w:firstLine="720"/>
      </w:pPr>
      <w:r>
        <w:rPr>
          <w:i/>
          <w:iCs/>
        </w:rPr>
        <w:t xml:space="preserve"> Căn</w:t>
      </w:r>
      <w:r>
        <w:rPr>
          <w:i/>
          <w:iCs/>
          <w:lang w:val="en-US"/>
        </w:rPr>
        <w:t xml:space="preserve"> </w:t>
      </w:r>
      <w:r>
        <w:rPr>
          <w:i/>
          <w:iCs/>
        </w:rPr>
        <w:t xml:space="preserve">cứ Luật Xây dựng ngày 18 tháng 6 năm 2014; </w:t>
      </w:r>
      <w:r>
        <w:rPr>
          <w:i/>
          <w:iCs/>
          <w:lang w:val="en-US"/>
        </w:rPr>
        <w:t xml:space="preserve">Căn cứ </w:t>
      </w:r>
      <w:r>
        <w:rPr>
          <w:i/>
          <w:iCs/>
        </w:rPr>
        <w:t>Luật sửa đổi, bổ</w:t>
      </w:r>
      <w:r>
        <w:rPr>
          <w:i/>
          <w:iCs/>
        </w:rPr>
        <w:t xml:space="preserve"> sung một số điều của Luật Xây dựng ngày </w:t>
      </w:r>
      <w:r>
        <w:rPr>
          <w:i/>
          <w:iCs/>
          <w:lang w:val="en-US"/>
        </w:rPr>
        <w:t>17</w:t>
      </w:r>
      <w:r>
        <w:rPr>
          <w:i/>
          <w:iCs/>
        </w:rPr>
        <w:t xml:space="preserve"> tháng 6 năm 2020;</w:t>
      </w:r>
    </w:p>
    <w:p w:rsidR="004F70DC" w:rsidRDefault="00D00EFD">
      <w:pPr>
        <w:widowControl w:val="0"/>
        <w:spacing w:after="120" w:line="276" w:lineRule="auto"/>
        <w:ind w:firstLine="720"/>
        <w:rPr>
          <w:i/>
        </w:rPr>
      </w:pPr>
      <w:r>
        <w:rPr>
          <w:i/>
        </w:rPr>
        <w:t xml:space="preserve">Căn cứ Luật Đầu tư công ngày </w:t>
      </w:r>
      <w:r>
        <w:rPr>
          <w:i/>
          <w:lang w:val="en-US"/>
        </w:rPr>
        <w:t>29</w:t>
      </w:r>
      <w:r>
        <w:rPr>
          <w:i/>
        </w:rPr>
        <w:t xml:space="preserve"> tháng </w:t>
      </w:r>
      <w:r>
        <w:rPr>
          <w:i/>
          <w:lang w:val="en-US"/>
        </w:rPr>
        <w:t>11</w:t>
      </w:r>
      <w:r>
        <w:rPr>
          <w:i/>
        </w:rPr>
        <w:t xml:space="preserve"> năm 20</w:t>
      </w:r>
      <w:r>
        <w:rPr>
          <w:i/>
          <w:lang w:val="en-US"/>
        </w:rPr>
        <w:t>24</w:t>
      </w:r>
      <w:r>
        <w:rPr>
          <w:i/>
        </w:rPr>
        <w:t xml:space="preserve">; </w:t>
      </w:r>
    </w:p>
    <w:p w:rsidR="004F70DC" w:rsidRDefault="00D00EFD">
      <w:pPr>
        <w:widowControl w:val="0"/>
        <w:spacing w:after="120" w:line="276" w:lineRule="auto"/>
        <w:ind w:firstLine="720"/>
        <w:rPr>
          <w:i/>
        </w:rPr>
      </w:pPr>
      <w:r>
        <w:rPr>
          <w:i/>
        </w:rPr>
        <w:t>Căn cứ Nghị định số 175/2024/NĐ-CP ngày 30/12/2024 của Chính phủ quy định chi tiết một số điều và biện pháp thi hành Luật Xây dựng</w:t>
      </w:r>
      <w:r>
        <w:rPr>
          <w:i/>
        </w:rPr>
        <w:br/>
        <w:t xml:space="preserve">về quản lý </w:t>
      </w:r>
      <w:r>
        <w:rPr>
          <w:i/>
        </w:rPr>
        <w:t xml:space="preserve">hoạt động xây dựng; </w:t>
      </w:r>
    </w:p>
    <w:p w:rsidR="004F70DC" w:rsidRDefault="00D00EFD">
      <w:pPr>
        <w:widowControl w:val="0"/>
        <w:spacing w:after="120" w:line="276" w:lineRule="auto"/>
        <w:ind w:firstLine="720"/>
        <w:rPr>
          <w:i/>
          <w:iCs/>
        </w:rPr>
      </w:pPr>
      <w:r>
        <w:rPr>
          <w:i/>
          <w:iCs/>
          <w:lang w:val="nl-NL"/>
        </w:rPr>
        <w:t xml:space="preserve">Theo đề nghị của Giám đốc Sở Xây dựng tại </w:t>
      </w:r>
      <w:r>
        <w:rPr>
          <w:i/>
          <w:iCs/>
        </w:rPr>
        <w:t>T</w:t>
      </w:r>
      <w:r>
        <w:rPr>
          <w:i/>
          <w:iCs/>
          <w:lang w:val="nl-NL"/>
        </w:rPr>
        <w:t>ờ trình số           /TTr-SXD ngày ..../    /2025</w:t>
      </w:r>
      <w:r>
        <w:rPr>
          <w:i/>
          <w:iCs/>
        </w:rPr>
        <w:t>,</w:t>
      </w:r>
    </w:p>
    <w:p w:rsidR="004F70DC" w:rsidRDefault="00D00EFD">
      <w:pPr>
        <w:widowControl w:val="0"/>
        <w:spacing w:after="240" w:line="276" w:lineRule="auto"/>
        <w:jc w:val="center"/>
        <w:rPr>
          <w:b/>
          <w:bCs/>
          <w:lang w:val="nl-NL"/>
        </w:rPr>
      </w:pPr>
      <w:r>
        <w:rPr>
          <w:b/>
          <w:bCs/>
          <w:lang w:val="nl-NL"/>
        </w:rPr>
        <w:t>QUYẾT ĐỊNH</w:t>
      </w:r>
    </w:p>
    <w:p w:rsidR="004F70DC" w:rsidRDefault="00D00EFD">
      <w:pPr>
        <w:pStyle w:val="BodyTextIndent2"/>
        <w:widowControl w:val="0"/>
        <w:spacing w:before="60" w:after="60" w:line="340" w:lineRule="exact"/>
        <w:ind w:left="0" w:firstLine="720"/>
        <w:rPr>
          <w:b/>
        </w:rPr>
      </w:pPr>
      <w:r>
        <w:rPr>
          <w:b/>
          <w:bCs/>
          <w:lang w:val="nl-NL"/>
        </w:rPr>
        <w:t xml:space="preserve">Điều 1. </w:t>
      </w:r>
      <w:r>
        <w:rPr>
          <w:b/>
        </w:rPr>
        <w:t>Phân cấp thẩm định Báo cáo nghiên cứu khả thi và thiết kế xây dựng triển khai sau thiết kế cơ sở của dự án trên địa bàn tỉ</w:t>
      </w:r>
      <w:r>
        <w:rPr>
          <w:b/>
        </w:rPr>
        <w:t>nh như sau</w:t>
      </w:r>
    </w:p>
    <w:p w:rsidR="004F70DC" w:rsidRDefault="00D00EFD">
      <w:pPr>
        <w:pStyle w:val="BodyTextIndent2"/>
        <w:widowControl w:val="0"/>
        <w:spacing w:before="60" w:after="60" w:line="340" w:lineRule="exact"/>
        <w:ind w:left="0" w:firstLine="720"/>
        <w:rPr>
          <w:b/>
          <w:i/>
        </w:rPr>
      </w:pPr>
      <w:r>
        <w:rPr>
          <w:b/>
          <w:i/>
          <w:lang w:val="en-US"/>
        </w:rPr>
        <w:t>1.</w:t>
      </w:r>
      <w:r>
        <w:rPr>
          <w:b/>
          <w:i/>
        </w:rPr>
        <w:t xml:space="preserve"> Đối với dự án sử dụng vốn đầu tư công</w:t>
      </w:r>
    </w:p>
    <w:p w:rsidR="004F70DC" w:rsidRDefault="00D00EFD">
      <w:pPr>
        <w:pStyle w:val="BodyTextIndent2"/>
        <w:widowControl w:val="0"/>
        <w:spacing w:before="60" w:after="60" w:line="340" w:lineRule="exact"/>
        <w:ind w:left="0" w:firstLine="720"/>
        <w:rPr>
          <w:lang w:val="en-US"/>
        </w:rPr>
      </w:pPr>
      <w:r>
        <w:rPr>
          <w:lang w:val="en-US"/>
        </w:rPr>
        <w:t>-</w:t>
      </w:r>
      <w:r>
        <w:t xml:space="preserve"> Phòng được giao quản lý xây dựng thuộc UBND cấp huyện thẩm định các nội dung theo quy định tại khoản 2 Điều 58 Luật Xây dựng năm 2014 được sửa đổi, bổ sung tại khoản 15 Điều 1 Luật sửa đổi, bổ sung một </w:t>
      </w:r>
      <w:r>
        <w:t xml:space="preserve">số điều của Luật Xây dựng năm 2020 đối với dự án đầu tư xây dựng </w:t>
      </w:r>
      <w:r>
        <w:rPr>
          <w:highlight w:val="yellow"/>
        </w:rPr>
        <w:t>công trình cấp III, IV</w:t>
      </w:r>
      <w:r>
        <w:t xml:space="preserve"> do Chủ tịch UBND cấp huyện, cấp xã quyết định đầu tư</w:t>
      </w:r>
      <w:r>
        <w:rPr>
          <w:lang w:val="en-US"/>
        </w:rPr>
        <w:t>.</w:t>
      </w:r>
    </w:p>
    <w:p w:rsidR="004F70DC" w:rsidRDefault="00D00EFD">
      <w:pPr>
        <w:pStyle w:val="BodyTextIndent2"/>
        <w:widowControl w:val="0"/>
        <w:spacing w:before="60" w:after="60" w:line="340" w:lineRule="exact"/>
        <w:ind w:left="0" w:firstLine="720"/>
      </w:pPr>
      <w:r>
        <w:rPr>
          <w:lang w:val="en-US"/>
        </w:rPr>
        <w:t xml:space="preserve">- </w:t>
      </w:r>
      <w:r>
        <w:t xml:space="preserve">Phòng được giao quản lý xây dựng thuộc UBND cấp huyện thẩm định thiết kế xây dựng triển khai sau thiết kế cơ sở theo các nội dung quy định tại </w:t>
      </w:r>
      <w:r>
        <w:lastRenderedPageBreak/>
        <w:t>khoản 2 Điều 83a Luật Xây dựng năm 2014 được bổ sung tại khoản 26 Điều 1 Luật sửa đổi, bổ sung một số điều của Lu</w:t>
      </w:r>
      <w:r>
        <w:t xml:space="preserve">ật Xây dựng năm 2020 đối với công trình </w:t>
      </w:r>
      <w:r>
        <w:rPr>
          <w:highlight w:val="yellow"/>
        </w:rPr>
        <w:t>cấp III, IV</w:t>
      </w:r>
      <w:r>
        <w:t xml:space="preserve"> thuộc dự án do Chủ tịch UBND cấp huyện, cấp xã quyết định đầu tư.</w:t>
      </w:r>
    </w:p>
    <w:p w:rsidR="004F70DC" w:rsidRDefault="00D00EFD">
      <w:pPr>
        <w:pStyle w:val="BodyTextIndent2"/>
        <w:widowControl w:val="0"/>
        <w:spacing w:before="60" w:after="60" w:line="340" w:lineRule="exact"/>
        <w:ind w:left="0" w:firstLine="720"/>
        <w:rPr>
          <w:b/>
          <w:i/>
        </w:rPr>
      </w:pPr>
      <w:r>
        <w:rPr>
          <w:b/>
          <w:i/>
          <w:lang w:val="en-US"/>
        </w:rPr>
        <w:t>2.</w:t>
      </w:r>
      <w:r>
        <w:rPr>
          <w:b/>
          <w:i/>
        </w:rPr>
        <w:t xml:space="preserve"> Đối với dự án sử dụng vốn nhà nước ngoài đầu tư công </w:t>
      </w:r>
    </w:p>
    <w:p w:rsidR="004F70DC" w:rsidRDefault="00D00EFD">
      <w:pPr>
        <w:pStyle w:val="BodyTextIndent2"/>
        <w:widowControl w:val="0"/>
        <w:spacing w:before="60" w:after="60" w:line="340" w:lineRule="exact"/>
        <w:ind w:left="0" w:firstLine="720"/>
        <w:rPr>
          <w:lang w:val="en-US"/>
        </w:rPr>
      </w:pPr>
      <w:r>
        <w:rPr>
          <w:lang w:val="en-US"/>
        </w:rPr>
        <w:t xml:space="preserve">- </w:t>
      </w:r>
      <w:r>
        <w:t>Phòng được giao quản lý xây dựng thuộc UBND cấp huyện thẩm định các nội dung qu</w:t>
      </w:r>
      <w:r>
        <w:t xml:space="preserve">y định tại khoản 2 Điều 58 Luật Xây dựng năm 2014 được sửa đổi, bổ sung tại khoản 15 Điều 1 Luật sửa đổi, bổ sung một số điều của Luật Xây dựng năm 2020 đối với </w:t>
      </w:r>
      <w:r>
        <w:rPr>
          <w:lang w:val="en-US"/>
        </w:rPr>
        <w:t xml:space="preserve">dự án nhóm B </w:t>
      </w:r>
      <w:r>
        <w:rPr>
          <w:highlight w:val="yellow"/>
          <w:lang w:val="en-US"/>
        </w:rPr>
        <w:t>có công trình cấp III, IV</w:t>
      </w:r>
      <w:r>
        <w:rPr>
          <w:lang w:val="en-US"/>
        </w:rPr>
        <w:t xml:space="preserve">, dự án có công trình ảnh hưởng lớn đến an toàn, lợi ích </w:t>
      </w:r>
      <w:r>
        <w:rPr>
          <w:lang w:val="en-US"/>
        </w:rPr>
        <w:t xml:space="preserve">cộng đồng sử dụng vốn nhà nước ngoài đầu tư công (theo phụ lục XI Nghị định số 175/2024/NĐ-CP) được đầu tư trên địa bàn huyện, trừ các dự án được Chủ tịch UBND tỉnh phân công cho </w:t>
      </w:r>
      <w:r>
        <w:t>Ban quản lý Khu kinh tế Nghi Sơn và các Khu công nghiệp thẩm định và các dự á</w:t>
      </w:r>
      <w:r>
        <w:t>n khai thác, chế biến khoáng sản làm vật liệu xây dựng, vật liệu xây dựng thông thường trên địa bàn tỉnh</w:t>
      </w:r>
      <w:r>
        <w:rPr>
          <w:lang w:val="en-US"/>
        </w:rPr>
        <w:t>.</w:t>
      </w:r>
    </w:p>
    <w:p w:rsidR="004F70DC" w:rsidRDefault="00D00EFD">
      <w:pPr>
        <w:pStyle w:val="BodyTextIndent2"/>
        <w:widowControl w:val="0"/>
        <w:spacing w:before="60" w:after="60" w:line="340" w:lineRule="exact"/>
        <w:ind w:left="0" w:firstLine="720"/>
        <w:rPr>
          <w:lang w:val="en-US"/>
        </w:rPr>
      </w:pPr>
      <w:r>
        <w:rPr>
          <w:lang w:val="en-US"/>
        </w:rPr>
        <w:t xml:space="preserve">- </w:t>
      </w:r>
      <w:r>
        <w:t>Phòng được giao quản lý xây dựng thuộc UBND cấp huyện thẩm định các nội dung quy định tại khoản 2 Điều 83a Luật Xây dựng năm 2014 được bổ sung tại k</w:t>
      </w:r>
      <w:r>
        <w:t xml:space="preserve">hoản 26 Điều 1 Luật sửa đổi, bổ sung một số điều của Luật Xây dựng năm 2020 đối với </w:t>
      </w:r>
      <w:r>
        <w:rPr>
          <w:highlight w:val="yellow"/>
        </w:rPr>
        <w:t>công trình cấp III, IV</w:t>
      </w:r>
      <w:r>
        <w:t xml:space="preserve"> thuộc dự án có quy mô nhóm B, công trình cấp III, IV thuộc dự án có công trình ảnh hưởng lớn đến an toàn, lợi ích cộng đồng theo Phụ lục X kèm theo N</w:t>
      </w:r>
      <w:r>
        <w:t>ghị định số 15/2021/NĐ-CP được đầu tư xây dựng trên địa bàn huyện, trừ các dự án được Chủ tịch UBND tỉnh phân công cho Ban quản lý Khu kinh tế Nghi Sơn và các Khu công nghiệp thẩm định và các dự</w:t>
      </w:r>
      <w:r>
        <w:rPr>
          <w:lang w:val="en-US"/>
        </w:rPr>
        <w:t xml:space="preserve"> </w:t>
      </w:r>
      <w:r>
        <w:t xml:space="preserve">án khai thác, chế biến khoáng sản làm vật liệu xây dựng, vật </w:t>
      </w:r>
      <w:r>
        <w:t>liệu xây dựng thông thường trên địa bàn tỉnh</w:t>
      </w:r>
      <w:r>
        <w:rPr>
          <w:lang w:val="en-US"/>
        </w:rPr>
        <w:t>.</w:t>
      </w:r>
    </w:p>
    <w:p w:rsidR="004F70DC" w:rsidRDefault="00D00EFD">
      <w:pPr>
        <w:pStyle w:val="BodyTextIndent2"/>
        <w:widowControl w:val="0"/>
        <w:spacing w:before="60" w:after="60" w:line="340" w:lineRule="exact"/>
        <w:ind w:left="0" w:firstLine="720"/>
        <w:rPr>
          <w:b/>
          <w:i/>
        </w:rPr>
      </w:pPr>
      <w:r>
        <w:rPr>
          <w:b/>
          <w:i/>
          <w:lang w:val="en-US"/>
        </w:rPr>
        <w:t>3.</w:t>
      </w:r>
      <w:r>
        <w:rPr>
          <w:b/>
          <w:i/>
        </w:rPr>
        <w:t xml:space="preserve"> Đối với dự án sử dụng vốn khác </w:t>
      </w:r>
    </w:p>
    <w:p w:rsidR="004F70DC" w:rsidRDefault="00D00EFD">
      <w:pPr>
        <w:pStyle w:val="BodyTextIndent2"/>
        <w:widowControl w:val="0"/>
        <w:spacing w:before="60" w:after="60" w:line="340" w:lineRule="exact"/>
        <w:ind w:left="0" w:firstLine="720"/>
        <w:rPr>
          <w:lang w:val="en-US"/>
        </w:rPr>
      </w:pPr>
      <w:r>
        <w:rPr>
          <w:lang w:val="en-US"/>
        </w:rPr>
        <w:t xml:space="preserve">- </w:t>
      </w:r>
      <w:r>
        <w:t>Phòng được giao quản lý về xây dựng thuộc UBND cấp huyện thẩm định các nội dung quy định tại các điểm a, b, c, d, đ, e khoản 2 Điều 58 Luật Xây dựng năm 2014 được sửa đổi, b</w:t>
      </w:r>
      <w:r>
        <w:t>ổ sung tại khoản 15 Điều 1 Luật sửa đổi, bổ sung một số điều của Luật Xây dựng năm 2020 đối với dự án quy mô lớn (quy định tại khoản</w:t>
      </w:r>
      <w:r>
        <w:rPr>
          <w:lang w:val="en-US"/>
        </w:rPr>
        <w:t xml:space="preserve"> 6 Điều 3 Nghị định số 175/2024/NĐ-CP)</w:t>
      </w:r>
      <w:r>
        <w:t xml:space="preserve"> </w:t>
      </w:r>
      <w:r>
        <w:rPr>
          <w:highlight w:val="yellow"/>
        </w:rPr>
        <w:t>có công trình cấp III, IV</w:t>
      </w:r>
      <w:r>
        <w:t>, dự án có công trình ảnh hưởng lớn đến an toàn, lợi ích cộn</w:t>
      </w:r>
      <w:r>
        <w:t xml:space="preserve">g đồng cấp III, IV (theo Phụ lục </w:t>
      </w:r>
      <w:r>
        <w:rPr>
          <w:lang w:val="en-US"/>
        </w:rPr>
        <w:t xml:space="preserve">XI </w:t>
      </w:r>
      <w:r>
        <w:t xml:space="preserve">kèm theo Nghị định số </w:t>
      </w:r>
      <w:r>
        <w:rPr>
          <w:lang w:val="en-US"/>
        </w:rPr>
        <w:t>175/2024</w:t>
      </w:r>
      <w:r>
        <w:t>/NĐ-CP) được đầu tư xây dựng trên địa bàn huyện, trừ các dự án được Chủ tịch UBND tỉnh phân công cho Ban quản lý Khu kinh tế Nghi Sơn và các Khu công nghiệp thẩm định và các dự án khai thác,</w:t>
      </w:r>
      <w:r>
        <w:t xml:space="preserve"> chế biến khoáng sản làm vật liệu xây dựng, vật liệu xây dựng thông thường trên địa bàn tỉnh</w:t>
      </w:r>
      <w:r>
        <w:rPr>
          <w:lang w:val="en-US"/>
        </w:rPr>
        <w:t>.</w:t>
      </w:r>
    </w:p>
    <w:p w:rsidR="004F70DC" w:rsidRDefault="00D00EFD">
      <w:pPr>
        <w:pStyle w:val="BodyTextIndent2"/>
        <w:widowControl w:val="0"/>
        <w:spacing w:before="60" w:after="60" w:line="340" w:lineRule="exact"/>
        <w:ind w:left="0" w:firstLine="720"/>
      </w:pPr>
      <w:r>
        <w:rPr>
          <w:lang w:val="en-US"/>
        </w:rPr>
        <w:t xml:space="preserve">- </w:t>
      </w:r>
      <w:r>
        <w:t>Phòng được giao quản lý xây dựng thuộc UBND cấp huyện thẩm định các nội dung quy định tại điểm a, b, c, đ và e khoản 2 Điều 83a Luật Xây dựng năm 2014 được bổ s</w:t>
      </w:r>
      <w:r>
        <w:t xml:space="preserve">ung tại khoản 26 Điều 1 Luật sửa đổi, bổ sung một số điều </w:t>
      </w:r>
      <w:r>
        <w:lastRenderedPageBreak/>
        <w:t xml:space="preserve">của Luật Xây dựng năm 2020 đối với </w:t>
      </w:r>
      <w:r>
        <w:rPr>
          <w:highlight w:val="yellow"/>
        </w:rPr>
        <w:t>công trình cấp III, IV</w:t>
      </w:r>
      <w:r>
        <w:t xml:space="preserve"> thuộc dự án có công trình ảnh hướng lớn đến an toàn, lợi ích cộng đồng </w:t>
      </w:r>
      <w:r>
        <w:rPr>
          <w:lang w:val="en-US"/>
        </w:rPr>
        <w:t>(</w:t>
      </w:r>
      <w:r>
        <w:t>theo Phụ lục X</w:t>
      </w:r>
      <w:r>
        <w:rPr>
          <w:lang w:val="en-US"/>
        </w:rPr>
        <w:t>I</w:t>
      </w:r>
      <w:r>
        <w:t xml:space="preserve"> kèm theo Nghị định số </w:t>
      </w:r>
      <w:r>
        <w:rPr>
          <w:lang w:val="en-US"/>
        </w:rPr>
        <w:t>175/2024</w:t>
      </w:r>
      <w:r>
        <w:t>/NĐ-CP</w:t>
      </w:r>
      <w:r>
        <w:rPr>
          <w:lang w:val="en-US"/>
        </w:rPr>
        <w:t>)</w:t>
      </w:r>
      <w:r>
        <w:t xml:space="preserve"> được xây dựng </w:t>
      </w:r>
      <w:r>
        <w:t xml:space="preserve">tại khu vực không có quy hoạch đô thị, quy hoạch xây dựng khu chức năng hoặc quy hoạch chi tiết xây dựng điểm dân cư nông thôn được đầu tư xây dựng trên địa bàn huyện, trừ các dự án được Chủ tịch UBND tỉnh phân công cho Ban quản lý Khu kinh tế Nghi Sơn và </w:t>
      </w:r>
      <w:r>
        <w:t>các Khu công nghiệp thẩm định và các dự án khai thác, chế biến khoáng sản làm vật liệu xây dựng, vật liệu xây dựng thông thường trên địa bàn tỉnh.</w:t>
      </w:r>
    </w:p>
    <w:p w:rsidR="004F70DC" w:rsidRDefault="00D00EFD">
      <w:pPr>
        <w:pStyle w:val="BodyTextIndent2"/>
        <w:widowControl w:val="0"/>
        <w:spacing w:before="60" w:after="60" w:line="340" w:lineRule="exact"/>
        <w:ind w:left="0" w:firstLine="720"/>
        <w:rPr>
          <w:b/>
        </w:rPr>
      </w:pPr>
      <w:r>
        <w:rPr>
          <w:b/>
          <w:lang w:val="en-US"/>
        </w:rPr>
        <w:t>4</w:t>
      </w:r>
      <w:r>
        <w:rPr>
          <w:b/>
        </w:rPr>
        <w:t xml:space="preserve">. Thẩm định điều chỉnh Báo cáo nghiên cứu khả thi đầu tư xây dựng và thiết kế xây dựng triển khai sau thiết </w:t>
      </w:r>
      <w:r>
        <w:rPr>
          <w:b/>
        </w:rPr>
        <w:t>kế cơ sở</w:t>
      </w:r>
    </w:p>
    <w:p w:rsidR="004F70DC" w:rsidRDefault="00D00EFD">
      <w:pPr>
        <w:pStyle w:val="BodyTextIndent2"/>
        <w:widowControl w:val="0"/>
        <w:spacing w:before="60" w:after="60" w:line="340" w:lineRule="exact"/>
        <w:ind w:left="0" w:firstLine="720"/>
      </w:pPr>
      <w:r>
        <w:t>Cơ quan được phân cấp thẩm định Báo cáo nghiên cứu khả thi đầu tư xây dựng và thiết kế xây dựng triển khai sau thiết kế cơ sở quy định tại khoản 1</w:t>
      </w:r>
      <w:r>
        <w:rPr>
          <w:lang w:val="en-US"/>
        </w:rPr>
        <w:t>, khoản 2</w:t>
      </w:r>
      <w:r>
        <w:t xml:space="preserve"> và khoản </w:t>
      </w:r>
      <w:r>
        <w:rPr>
          <w:lang w:val="en-US"/>
        </w:rPr>
        <w:t xml:space="preserve">3 </w:t>
      </w:r>
      <w:r>
        <w:t>Điều này là cơ quan thẩm định điều chỉnh Báo cáo nghiên cứu khả thi đầu tư xây d</w:t>
      </w:r>
      <w:r>
        <w:t>ựng và thiết kế xây dựng triển khai sau thiết kế cơ sở.</w:t>
      </w:r>
    </w:p>
    <w:p w:rsidR="004F70DC" w:rsidRDefault="00D00EFD">
      <w:pPr>
        <w:pStyle w:val="BodyTextIndent2"/>
        <w:widowControl w:val="0"/>
        <w:spacing w:before="60" w:after="60" w:line="340" w:lineRule="exact"/>
        <w:ind w:left="0" w:firstLine="720"/>
        <w:rPr>
          <w:b/>
        </w:rPr>
      </w:pPr>
      <w:r>
        <w:rPr>
          <w:b/>
        </w:rPr>
        <w:t>Điều 2. Trách nhiệm thi hành</w:t>
      </w:r>
    </w:p>
    <w:p w:rsidR="004F70DC" w:rsidRDefault="00D00EFD">
      <w:pPr>
        <w:pStyle w:val="BodyTextIndent2"/>
        <w:widowControl w:val="0"/>
        <w:spacing w:before="60" w:after="60" w:line="340" w:lineRule="exact"/>
        <w:ind w:left="0" w:firstLine="720"/>
      </w:pPr>
      <w:r>
        <w:t>1. UBND cấp huyện có trách nhiệm chỉ đạo, kiểm tra Phòng được giao quản lý xây dựng thuộc UBND cấp huyện tổ chức thẩm định Báo cáo nghiên cứu khả thi đầu tư xây dựng và th</w:t>
      </w:r>
      <w:r>
        <w:t>iết kế xây dựng triển khai sau thiết kế cơ sở các công trình theo phân cấp của UBND tỉnh; kịp thời xử lý vi phạm (nếu có) theo thẩm quyền hoặc báo cáo, đề xuất UBND tỉnh xem xét, xử lý theo quy định. Đồng thời, thực hiện báo cáo định kỳ 02 lần/01 năm về kế</w:t>
      </w:r>
      <w:r>
        <w:t>t quả thực hiện nội dung đã được phân cấp; thời hạn gửi báo cáo trước ngày 30 tháng 6 (đối với</w:t>
      </w:r>
      <w:r>
        <w:rPr>
          <w:lang w:val="en-US"/>
        </w:rPr>
        <w:t xml:space="preserve"> </w:t>
      </w:r>
      <w:r>
        <w:t>báo cáo 06 tháng đầu năm) và trước ngày 15 tháng 01 của năm sau (đối với báo cáo năm) về Sở Kế hoạch và Đầu tư và gửi cơ quan chuyên môn về xây dựng (</w:t>
      </w:r>
      <w:r>
        <w:rPr>
          <w:highlight w:val="yellow"/>
        </w:rPr>
        <w:t>gồm các Sở:</w:t>
      </w:r>
      <w:r>
        <w:rPr>
          <w:highlight w:val="yellow"/>
        </w:rPr>
        <w:t xml:space="preserve"> Xây dựng,</w:t>
      </w:r>
      <w:r>
        <w:rPr>
          <w:highlight w:val="yellow"/>
          <w:lang w:val="en-US"/>
        </w:rPr>
        <w:t xml:space="preserve"> </w:t>
      </w:r>
      <w:r>
        <w:rPr>
          <w:highlight w:val="yellow"/>
        </w:rPr>
        <w:t xml:space="preserve">Nông nghiệp và </w:t>
      </w:r>
      <w:r>
        <w:rPr>
          <w:highlight w:val="yellow"/>
          <w:lang w:val="en-US"/>
        </w:rPr>
        <w:t>môi trường</w:t>
      </w:r>
      <w:r>
        <w:rPr>
          <w:highlight w:val="yellow"/>
        </w:rPr>
        <w:t>, Công Thương)</w:t>
      </w:r>
      <w:r>
        <w:t xml:space="preserve"> theo lĩnh vực phụ trách để tổng hợp, báo cáo Chủ tịch UBND tỉnh.</w:t>
      </w:r>
    </w:p>
    <w:p w:rsidR="004F70DC" w:rsidRDefault="00D00EFD">
      <w:pPr>
        <w:pStyle w:val="BodyTextIndent2"/>
        <w:widowControl w:val="0"/>
        <w:spacing w:before="60" w:after="60" w:line="340" w:lineRule="exact"/>
        <w:ind w:left="0" w:firstLine="720"/>
        <w:rPr>
          <w:lang w:val="en-US"/>
        </w:rPr>
      </w:pPr>
      <w:r>
        <w:rPr>
          <w:lang w:val="en-US"/>
        </w:rPr>
        <w:t>2</w:t>
      </w:r>
      <w:r>
        <w:t>. Trong quá trình thực hiện, nếu UBND cấp huyện xét thấy điều kiện nhân lực của địa phương không đáp ứng thực hiện nội dung phân cấp theo Q</w:t>
      </w:r>
      <w:r>
        <w:t>uyết định này thì báo cáo UBND tỉnh xem xét theo quy định</w:t>
      </w:r>
      <w:r>
        <w:rPr>
          <w:lang w:val="en-US"/>
        </w:rPr>
        <w:t>.</w:t>
      </w:r>
    </w:p>
    <w:p w:rsidR="004F70DC" w:rsidRDefault="00D00EFD">
      <w:pPr>
        <w:pStyle w:val="BodyTextIndent2"/>
        <w:widowControl w:val="0"/>
        <w:spacing w:before="60" w:after="60" w:line="340" w:lineRule="exact"/>
        <w:ind w:left="0" w:firstLine="720"/>
      </w:pPr>
      <w:r>
        <w:t xml:space="preserve">3. Sở Xây dựng, </w:t>
      </w:r>
      <w:r>
        <w:rPr>
          <w:strike/>
          <w:highlight w:val="yellow"/>
        </w:rPr>
        <w:t>Sở Giao thông vận tải</w:t>
      </w:r>
      <w:r>
        <w:rPr>
          <w:strike/>
        </w:rPr>
        <w:t>,</w:t>
      </w:r>
      <w:r>
        <w:t xml:space="preserve"> Sở Nông nghiệp và </w:t>
      </w:r>
      <w:r>
        <w:rPr>
          <w:lang w:val="en-US"/>
        </w:rPr>
        <w:t>môi trường</w:t>
      </w:r>
      <w:r>
        <w:t xml:space="preserve">, Sở Công Thương trên cơ sở báo cáo định kỳ của UBND cấp huyện về kết quả thực hiện nội dung đã được phân cấp và chức năng, nhiệm </w:t>
      </w:r>
      <w:r>
        <w:t>vụ được giao đề xuất, đưa vào kế hoạch kiểm tra hàng năm của các Sở để kiểm tra việc thực hiện nhiệm vụ thuộc lĩnh vực của mình đã phân cấp cho UBND cấp huyện theo Quyết định này để kịp thời xử lý vi phạm (nếu có) theo quy định</w:t>
      </w:r>
    </w:p>
    <w:p w:rsidR="004F70DC" w:rsidRDefault="00D00EFD">
      <w:pPr>
        <w:pStyle w:val="BodyTextIndent2"/>
        <w:widowControl w:val="0"/>
        <w:spacing w:before="60" w:after="60" w:line="340" w:lineRule="exact"/>
        <w:ind w:left="0" w:firstLine="720"/>
      </w:pPr>
      <w:r>
        <w:rPr>
          <w:b/>
        </w:rPr>
        <w:t xml:space="preserve">Điều 3. </w:t>
      </w:r>
      <w:r>
        <w:t>Quyết định này có hi</w:t>
      </w:r>
      <w:r>
        <w:t xml:space="preserve">ệu lực từ ngày </w:t>
      </w:r>
      <w:r>
        <w:rPr>
          <w:lang w:val="en-US"/>
        </w:rPr>
        <w:t xml:space="preserve">ký </w:t>
      </w:r>
      <w:r>
        <w:t>và thay thế Quyết định số 2</w:t>
      </w:r>
      <w:r>
        <w:rPr>
          <w:lang w:val="en-US"/>
        </w:rPr>
        <w:t>0</w:t>
      </w:r>
      <w:r>
        <w:t>/20</w:t>
      </w:r>
      <w:r>
        <w:rPr>
          <w:lang w:val="en-US"/>
        </w:rPr>
        <w:t>21</w:t>
      </w:r>
      <w:r>
        <w:t>/QĐ-UBND ngày</w:t>
      </w:r>
      <w:r>
        <w:rPr>
          <w:lang w:val="en-US"/>
        </w:rPr>
        <w:t xml:space="preserve"> 16/9/2021</w:t>
      </w:r>
      <w:r>
        <w:t xml:space="preserve"> của UBND tỉnh Quy định phân cấp thẩm định Báo cáo nghiên cứu khả thi đầu tư xây dựng và thiết kế xây dựng triển khai sau thiết kế cơ sở trên địa bàn tỉnhThanh Hóa.</w:t>
      </w:r>
    </w:p>
    <w:p w:rsidR="004F70DC" w:rsidRDefault="00D00EFD">
      <w:pPr>
        <w:pStyle w:val="BodyTextIndent2"/>
        <w:widowControl w:val="0"/>
        <w:spacing w:before="60" w:after="60" w:line="340" w:lineRule="exact"/>
        <w:ind w:left="0" w:firstLine="720"/>
      </w:pPr>
      <w:r>
        <w:lastRenderedPageBreak/>
        <w:t>Chánh Văn phòng UBND tỉnh, Giám đốc các sở, Thủ trưởng các ban, ngành cấp tỉnh; Chủ tịch UBND các huyện, thị xã, thành phố và Thủ trưởng các đơn vị, cá nhân có liên quan chịu trách nhiệm thi hành Quyết định này./.</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819"/>
      </w:tblGrid>
      <w:tr w:rsidR="004F70DC">
        <w:tc>
          <w:tcPr>
            <w:tcW w:w="4503" w:type="dxa"/>
          </w:tcPr>
          <w:p w:rsidR="004F70DC" w:rsidRDefault="00D00EFD">
            <w:pPr>
              <w:widowControl w:val="0"/>
              <w:spacing w:line="200" w:lineRule="atLeast"/>
              <w:rPr>
                <w:b/>
                <w:sz w:val="22"/>
                <w:szCs w:val="22"/>
                <w:lang w:val="nl-NL"/>
              </w:rPr>
            </w:pPr>
            <w:r>
              <w:rPr>
                <w:b/>
                <w:i/>
                <w:sz w:val="22"/>
                <w:szCs w:val="22"/>
                <w:lang w:val="nl-NL"/>
              </w:rPr>
              <w:t>Nơi nhận:</w:t>
            </w:r>
            <w:r>
              <w:rPr>
                <w:b/>
                <w:sz w:val="22"/>
                <w:szCs w:val="22"/>
                <w:lang w:val="nl-NL"/>
              </w:rPr>
              <w:tab/>
            </w:r>
            <w:r>
              <w:rPr>
                <w:b/>
                <w:sz w:val="22"/>
                <w:szCs w:val="22"/>
                <w:lang w:val="nl-NL"/>
              </w:rPr>
              <w:tab/>
            </w:r>
            <w:r>
              <w:rPr>
                <w:b/>
                <w:sz w:val="22"/>
                <w:szCs w:val="22"/>
                <w:lang w:val="nl-NL"/>
              </w:rPr>
              <w:tab/>
            </w:r>
            <w:r>
              <w:rPr>
                <w:b/>
                <w:sz w:val="22"/>
                <w:szCs w:val="22"/>
                <w:lang w:val="nl-NL"/>
              </w:rPr>
              <w:tab/>
            </w:r>
          </w:p>
          <w:p w:rsidR="004F70DC" w:rsidRDefault="00D00EFD">
            <w:pPr>
              <w:widowControl w:val="0"/>
              <w:spacing w:line="200" w:lineRule="atLeast"/>
              <w:rPr>
                <w:sz w:val="22"/>
                <w:szCs w:val="22"/>
                <w:lang w:val="nl-NL"/>
              </w:rPr>
            </w:pPr>
            <w:r>
              <w:rPr>
                <w:sz w:val="22"/>
                <w:szCs w:val="22"/>
                <w:lang w:val="nl-NL"/>
              </w:rPr>
              <w:t xml:space="preserve">- Như Điều </w:t>
            </w:r>
            <w:r>
              <w:rPr>
                <w:sz w:val="22"/>
                <w:szCs w:val="22"/>
                <w:lang w:val="en-US"/>
              </w:rPr>
              <w:t>2</w:t>
            </w:r>
            <w:r>
              <w:rPr>
                <w:sz w:val="22"/>
                <w:szCs w:val="22"/>
                <w:lang w:val="nl-NL"/>
              </w:rPr>
              <w:t>;</w:t>
            </w:r>
            <w:r>
              <w:rPr>
                <w:sz w:val="22"/>
                <w:szCs w:val="22"/>
                <w:lang w:val="nl-NL"/>
              </w:rPr>
              <w:tab/>
            </w:r>
            <w:r>
              <w:rPr>
                <w:sz w:val="22"/>
                <w:szCs w:val="22"/>
                <w:lang w:val="nl-NL"/>
              </w:rPr>
              <w:tab/>
            </w:r>
            <w:r>
              <w:rPr>
                <w:sz w:val="22"/>
                <w:szCs w:val="22"/>
                <w:lang w:val="nl-NL"/>
              </w:rPr>
              <w:tab/>
            </w:r>
          </w:p>
          <w:p w:rsidR="004F70DC" w:rsidRDefault="00D00EFD">
            <w:pPr>
              <w:widowControl w:val="0"/>
              <w:spacing w:line="200" w:lineRule="atLeast"/>
              <w:rPr>
                <w:sz w:val="22"/>
                <w:szCs w:val="22"/>
                <w:lang w:val="nl-NL"/>
              </w:rPr>
            </w:pPr>
            <w:r>
              <w:rPr>
                <w:sz w:val="22"/>
                <w:szCs w:val="22"/>
                <w:lang w:val="nl-NL"/>
              </w:rPr>
              <w:t>- Bộ Xây dự</w:t>
            </w:r>
            <w:r>
              <w:rPr>
                <w:sz w:val="22"/>
                <w:szCs w:val="22"/>
                <w:lang w:val="nl-NL"/>
              </w:rPr>
              <w:t>ng (để b/c);</w:t>
            </w:r>
          </w:p>
          <w:p w:rsidR="004F70DC" w:rsidRDefault="00D00EFD">
            <w:pPr>
              <w:widowControl w:val="0"/>
              <w:spacing w:line="200" w:lineRule="atLeast"/>
              <w:rPr>
                <w:sz w:val="22"/>
                <w:szCs w:val="22"/>
                <w:lang w:val="nl-NL"/>
              </w:rPr>
            </w:pPr>
            <w:r>
              <w:rPr>
                <w:sz w:val="22"/>
                <w:szCs w:val="22"/>
                <w:lang w:val="nl-NL"/>
              </w:rPr>
              <w:t>- TTr: Tỉnh ủy, HĐND tỉnh (để b/c);</w:t>
            </w:r>
          </w:p>
          <w:p w:rsidR="004F70DC" w:rsidRDefault="00D00EFD">
            <w:pPr>
              <w:widowControl w:val="0"/>
              <w:spacing w:line="200" w:lineRule="atLeast"/>
              <w:rPr>
                <w:sz w:val="22"/>
                <w:szCs w:val="22"/>
                <w:lang w:val="nl-NL"/>
              </w:rPr>
            </w:pPr>
            <w:r>
              <w:rPr>
                <w:sz w:val="22"/>
                <w:szCs w:val="22"/>
                <w:lang w:val="nl-NL"/>
              </w:rPr>
              <w:t>- Chủ tịch, các PCT UBND tỉnh;</w:t>
            </w:r>
          </w:p>
          <w:p w:rsidR="004F70DC" w:rsidRDefault="00D00EFD">
            <w:pPr>
              <w:widowControl w:val="0"/>
              <w:spacing w:line="200" w:lineRule="atLeast"/>
              <w:rPr>
                <w:sz w:val="22"/>
                <w:szCs w:val="22"/>
                <w:lang w:val="nl-NL"/>
              </w:rPr>
            </w:pPr>
            <w:r>
              <w:rPr>
                <w:sz w:val="22"/>
                <w:szCs w:val="22"/>
                <w:lang w:val="nl-NL"/>
              </w:rPr>
              <w:t>- Cục kiểm tra VB QPPL</w:t>
            </w:r>
            <w:r>
              <w:rPr>
                <w:sz w:val="22"/>
                <w:szCs w:val="22"/>
              </w:rPr>
              <w:t xml:space="preserve"> -</w:t>
            </w:r>
            <w:r>
              <w:rPr>
                <w:sz w:val="22"/>
                <w:szCs w:val="22"/>
                <w:lang w:val="nl-NL"/>
              </w:rPr>
              <w:t xml:space="preserve"> Bộ Tư pháp;</w:t>
            </w:r>
          </w:p>
          <w:p w:rsidR="004F70DC" w:rsidRDefault="00D00EFD">
            <w:pPr>
              <w:widowControl w:val="0"/>
              <w:spacing w:line="200" w:lineRule="atLeast"/>
              <w:rPr>
                <w:sz w:val="22"/>
                <w:szCs w:val="22"/>
                <w:lang w:val="nl-NL"/>
              </w:rPr>
            </w:pPr>
            <w:r>
              <w:rPr>
                <w:sz w:val="22"/>
                <w:szCs w:val="22"/>
                <w:lang w:val="nl-NL"/>
              </w:rPr>
              <w:t>- Chánh VP, Phó CVP UBND tỉnh;</w:t>
            </w:r>
          </w:p>
          <w:p w:rsidR="004F70DC" w:rsidRDefault="00D00EFD">
            <w:pPr>
              <w:widowControl w:val="0"/>
              <w:spacing w:line="200" w:lineRule="atLeast"/>
              <w:rPr>
                <w:sz w:val="22"/>
                <w:szCs w:val="22"/>
                <w:lang w:val="nl-NL"/>
              </w:rPr>
            </w:pPr>
            <w:r>
              <w:rPr>
                <w:sz w:val="22"/>
                <w:szCs w:val="22"/>
                <w:lang w:val="nl-NL"/>
              </w:rPr>
              <w:t>- Công báo tỉnh;</w:t>
            </w:r>
          </w:p>
          <w:p w:rsidR="004F70DC" w:rsidRDefault="00D00EFD">
            <w:pPr>
              <w:widowControl w:val="0"/>
              <w:tabs>
                <w:tab w:val="left" w:pos="720"/>
                <w:tab w:val="center" w:pos="4320"/>
                <w:tab w:val="right" w:pos="8640"/>
              </w:tabs>
              <w:spacing w:line="200" w:lineRule="atLeast"/>
              <w:rPr>
                <w:sz w:val="22"/>
                <w:szCs w:val="22"/>
                <w:lang w:val="nl-NL"/>
              </w:rPr>
            </w:pPr>
            <w:r>
              <w:rPr>
                <w:sz w:val="22"/>
                <w:szCs w:val="22"/>
                <w:lang w:val="nl-NL"/>
              </w:rPr>
              <w:t>- L</w:t>
            </w:r>
            <w:r>
              <w:rPr>
                <w:sz w:val="22"/>
                <w:szCs w:val="22"/>
                <w:lang w:val="nl-NL"/>
              </w:rPr>
              <w:softHyphen/>
            </w:r>
            <w:r>
              <w:rPr>
                <w:sz w:val="22"/>
                <w:szCs w:val="22"/>
                <w:lang w:val="nl-NL"/>
              </w:rPr>
              <w:softHyphen/>
              <w:t>ưu: VT, CN.</w:t>
            </w:r>
          </w:p>
        </w:tc>
        <w:tc>
          <w:tcPr>
            <w:tcW w:w="4819" w:type="dxa"/>
          </w:tcPr>
          <w:p w:rsidR="004F70DC" w:rsidRDefault="00D00EFD">
            <w:pPr>
              <w:widowControl w:val="0"/>
              <w:spacing w:line="200" w:lineRule="atLeast"/>
              <w:jc w:val="center"/>
              <w:rPr>
                <w:b/>
                <w:lang w:val="nl-NL"/>
              </w:rPr>
            </w:pPr>
            <w:r>
              <w:rPr>
                <w:b/>
                <w:lang w:val="nl-NL"/>
              </w:rPr>
              <w:t>TM. UỶ BAN  NHÂN DÂN</w:t>
            </w:r>
          </w:p>
          <w:p w:rsidR="004F70DC" w:rsidRDefault="00D00EFD">
            <w:pPr>
              <w:widowControl w:val="0"/>
              <w:spacing w:line="200" w:lineRule="atLeast"/>
              <w:jc w:val="center"/>
              <w:rPr>
                <w:b/>
                <w:sz w:val="26"/>
                <w:lang w:val="nl-NL"/>
              </w:rPr>
            </w:pPr>
            <w:r>
              <w:rPr>
                <w:b/>
                <w:lang w:val="nl-NL"/>
              </w:rPr>
              <w:t>CHỦ TỊCH</w:t>
            </w:r>
          </w:p>
          <w:p w:rsidR="004F70DC" w:rsidRDefault="004F70DC">
            <w:pPr>
              <w:widowControl w:val="0"/>
              <w:spacing w:line="200" w:lineRule="atLeast"/>
              <w:jc w:val="center"/>
              <w:rPr>
                <w:b/>
                <w:sz w:val="26"/>
                <w:lang w:val="nl-NL"/>
              </w:rPr>
            </w:pPr>
          </w:p>
          <w:p w:rsidR="004F70DC" w:rsidRDefault="004F70DC">
            <w:pPr>
              <w:widowControl w:val="0"/>
              <w:spacing w:line="200" w:lineRule="atLeast"/>
              <w:jc w:val="center"/>
              <w:rPr>
                <w:b/>
                <w:sz w:val="26"/>
                <w:lang w:val="nl-NL"/>
              </w:rPr>
            </w:pPr>
          </w:p>
          <w:p w:rsidR="004F70DC" w:rsidRDefault="004F70DC">
            <w:pPr>
              <w:widowControl w:val="0"/>
              <w:spacing w:line="200" w:lineRule="atLeast"/>
              <w:jc w:val="center"/>
              <w:rPr>
                <w:b/>
                <w:sz w:val="26"/>
                <w:lang w:val="nl-NL"/>
              </w:rPr>
            </w:pPr>
          </w:p>
          <w:p w:rsidR="004F70DC" w:rsidRDefault="004F70DC">
            <w:pPr>
              <w:widowControl w:val="0"/>
              <w:spacing w:line="200" w:lineRule="atLeast"/>
              <w:jc w:val="center"/>
              <w:rPr>
                <w:b/>
                <w:sz w:val="26"/>
                <w:lang w:val="nl-NL"/>
              </w:rPr>
            </w:pPr>
          </w:p>
          <w:p w:rsidR="004F70DC" w:rsidRDefault="004F70DC">
            <w:pPr>
              <w:widowControl w:val="0"/>
              <w:spacing w:line="200" w:lineRule="atLeast"/>
              <w:jc w:val="center"/>
              <w:rPr>
                <w:b/>
                <w:sz w:val="26"/>
                <w:lang w:val="nl-NL"/>
              </w:rPr>
            </w:pPr>
          </w:p>
          <w:p w:rsidR="004F70DC" w:rsidRDefault="004F70DC">
            <w:pPr>
              <w:widowControl w:val="0"/>
              <w:spacing w:line="200" w:lineRule="atLeast"/>
              <w:jc w:val="center"/>
              <w:rPr>
                <w:b/>
                <w:sz w:val="26"/>
                <w:lang w:val="nl-NL"/>
              </w:rPr>
            </w:pPr>
          </w:p>
          <w:p w:rsidR="004F70DC" w:rsidRDefault="004F70DC">
            <w:pPr>
              <w:widowControl w:val="0"/>
              <w:tabs>
                <w:tab w:val="left" w:pos="7350"/>
              </w:tabs>
              <w:spacing w:line="200" w:lineRule="atLeast"/>
              <w:jc w:val="center"/>
              <w:rPr>
                <w:sz w:val="24"/>
                <w:lang w:val="nl-NL"/>
              </w:rPr>
            </w:pPr>
          </w:p>
          <w:p w:rsidR="004F70DC" w:rsidRDefault="004F70DC">
            <w:pPr>
              <w:widowControl w:val="0"/>
              <w:tabs>
                <w:tab w:val="left" w:pos="7350"/>
              </w:tabs>
              <w:spacing w:line="200" w:lineRule="atLeast"/>
              <w:rPr>
                <w:sz w:val="24"/>
                <w:lang w:val="nl-NL"/>
              </w:rPr>
            </w:pPr>
          </w:p>
          <w:p w:rsidR="004F70DC" w:rsidRDefault="004F70DC">
            <w:pPr>
              <w:widowControl w:val="0"/>
              <w:tabs>
                <w:tab w:val="left" w:pos="7350"/>
              </w:tabs>
              <w:spacing w:line="200" w:lineRule="atLeast"/>
              <w:rPr>
                <w:lang w:val="nl-NL"/>
              </w:rPr>
            </w:pPr>
          </w:p>
        </w:tc>
      </w:tr>
    </w:tbl>
    <w:p w:rsidR="004F70DC" w:rsidRDefault="004F70DC">
      <w:pPr>
        <w:pStyle w:val="BodyTextIndent2"/>
        <w:widowControl w:val="0"/>
        <w:spacing w:before="120" w:line="288" w:lineRule="auto"/>
        <w:ind w:left="0"/>
        <w:rPr>
          <w:szCs w:val="28"/>
          <w:lang w:val="nl-NL"/>
        </w:rPr>
      </w:pPr>
    </w:p>
    <w:sectPr w:rsidR="004F70DC">
      <w:headerReference w:type="default" r:id="rId9"/>
      <w:pgSz w:w="11909" w:h="16834" w:code="9"/>
      <w:pgMar w:top="1276"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EFD" w:rsidRDefault="00D00EFD">
      <w:r>
        <w:separator/>
      </w:r>
    </w:p>
  </w:endnote>
  <w:endnote w:type="continuationSeparator" w:id="0">
    <w:p w:rsidR="00D00EFD" w:rsidRDefault="00D00EFD">
      <w:r>
        <w:continuationSeparator/>
      </w:r>
    </w:p>
  </w:endnote>
  <w:endnote w:type="continuationNotice" w:id="1">
    <w:p w:rsidR="00D00EFD" w:rsidRDefault="00D00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EFD" w:rsidRDefault="00D00EFD">
      <w:r>
        <w:separator/>
      </w:r>
    </w:p>
  </w:footnote>
  <w:footnote w:type="continuationSeparator" w:id="0">
    <w:p w:rsidR="00D00EFD" w:rsidRDefault="00D00EFD">
      <w:r>
        <w:continuationSeparator/>
      </w:r>
    </w:p>
  </w:footnote>
  <w:footnote w:type="continuationNotice" w:id="1">
    <w:p w:rsidR="00D00EFD" w:rsidRDefault="00D00E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493776"/>
      <w:docPartObj>
        <w:docPartGallery w:val="Page Numbers (Top of Page)"/>
        <w:docPartUnique/>
      </w:docPartObj>
    </w:sdtPr>
    <w:sdtEndPr/>
    <w:sdtContent>
      <w:p w:rsidR="004F70DC" w:rsidRDefault="00D00EFD">
        <w:pPr>
          <w:pStyle w:val="Header"/>
          <w:jc w:val="center"/>
        </w:pPr>
        <w:r>
          <w:fldChar w:fldCharType="begin"/>
        </w:r>
        <w:r>
          <w:instrText>PAGE   \* MERGEFORMAT</w:instrText>
        </w:r>
        <w:r>
          <w:fldChar w:fldCharType="separate"/>
        </w:r>
        <w:r w:rsidR="006D0412">
          <w:rPr>
            <w:noProof/>
          </w:rPr>
          <w:t>4</w:t>
        </w:r>
        <w:r>
          <w:fldChar w:fldCharType="end"/>
        </w:r>
      </w:p>
    </w:sdtContent>
  </w:sdt>
  <w:p w:rsidR="004F70DC" w:rsidRDefault="004F70DC">
    <w:pPr>
      <w:pStyle w:val="Header"/>
      <w:jc w:val="right"/>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1219"/>
    <w:multiLevelType w:val="hybridMultilevel"/>
    <w:tmpl w:val="217E2F08"/>
    <w:lvl w:ilvl="0" w:tplc="58A08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5B4F5A"/>
    <w:multiLevelType w:val="hybridMultilevel"/>
    <w:tmpl w:val="6D2E1FCC"/>
    <w:lvl w:ilvl="0" w:tplc="0AB8AC0A">
      <w:start w:val="1"/>
      <w:numFmt w:val="decimal"/>
      <w:lvlText w:val="%1."/>
      <w:lvlJc w:val="left"/>
      <w:pPr>
        <w:ind w:left="1080" w:hanging="360"/>
      </w:pPr>
      <w:rPr>
        <w:rFonts w:hint="default"/>
        <w:sz w:val="26"/>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ED90447"/>
    <w:multiLevelType w:val="hybridMultilevel"/>
    <w:tmpl w:val="9DF0687E"/>
    <w:lvl w:ilvl="0" w:tplc="954E49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3020B7C"/>
    <w:multiLevelType w:val="singleLevel"/>
    <w:tmpl w:val="0409000F"/>
    <w:lvl w:ilvl="0">
      <w:start w:val="1"/>
      <w:numFmt w:val="decimal"/>
      <w:lvlText w:val="%1."/>
      <w:lvlJc w:val="left"/>
      <w:pPr>
        <w:tabs>
          <w:tab w:val="num" w:pos="360"/>
        </w:tabs>
        <w:ind w:left="360" w:hanging="360"/>
      </w:pPr>
    </w:lvl>
  </w:abstractNum>
  <w:abstractNum w:abstractNumId="4">
    <w:nsid w:val="36E65DF2"/>
    <w:multiLevelType w:val="singleLevel"/>
    <w:tmpl w:val="237A53CE"/>
    <w:lvl w:ilvl="0">
      <w:start w:val="40"/>
      <w:numFmt w:val="bullet"/>
      <w:lvlText w:val="-"/>
      <w:lvlJc w:val="left"/>
      <w:pPr>
        <w:tabs>
          <w:tab w:val="num" w:pos="1080"/>
        </w:tabs>
        <w:ind w:left="1080" w:hanging="360"/>
      </w:pPr>
      <w:rPr>
        <w:rFonts w:ascii="Times New Roman" w:hAnsi="Times New Roman" w:hint="default"/>
      </w:rPr>
    </w:lvl>
  </w:abstractNum>
  <w:abstractNum w:abstractNumId="5">
    <w:nsid w:val="3C6B0F98"/>
    <w:multiLevelType w:val="hybridMultilevel"/>
    <w:tmpl w:val="359268F8"/>
    <w:lvl w:ilvl="0" w:tplc="BCFC977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34F7B5F"/>
    <w:multiLevelType w:val="hybridMultilevel"/>
    <w:tmpl w:val="03BA77B8"/>
    <w:lvl w:ilvl="0" w:tplc="D6F8889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4A601BEB"/>
    <w:multiLevelType w:val="hybridMultilevel"/>
    <w:tmpl w:val="776E5BB4"/>
    <w:lvl w:ilvl="0" w:tplc="10E69BC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33A2EF3"/>
    <w:multiLevelType w:val="hybridMultilevel"/>
    <w:tmpl w:val="05E80CC4"/>
    <w:lvl w:ilvl="0" w:tplc="A97A1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BF107E"/>
    <w:multiLevelType w:val="hybridMultilevel"/>
    <w:tmpl w:val="2E585352"/>
    <w:lvl w:ilvl="0" w:tplc="0346EC5C">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1">
    <w:nsid w:val="668373BC"/>
    <w:multiLevelType w:val="hybridMultilevel"/>
    <w:tmpl w:val="AE96649E"/>
    <w:lvl w:ilvl="0" w:tplc="CAFA8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A4392E"/>
    <w:multiLevelType w:val="hybridMultilevel"/>
    <w:tmpl w:val="C6705FAA"/>
    <w:lvl w:ilvl="0" w:tplc="0C06A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8"/>
  </w:num>
  <w:num w:numId="4">
    <w:abstractNumId w:val="10"/>
  </w:num>
  <w:num w:numId="5">
    <w:abstractNumId w:val="2"/>
  </w:num>
  <w:num w:numId="6">
    <w:abstractNumId w:val="6"/>
  </w:num>
  <w:num w:numId="7">
    <w:abstractNumId w:val="5"/>
  </w:num>
  <w:num w:numId="8">
    <w:abstractNumId w:val="1"/>
  </w:num>
  <w:num w:numId="9">
    <w:abstractNumId w:val="7"/>
  </w:num>
  <w:num w:numId="10">
    <w:abstractNumId w:val="12"/>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0DC"/>
    <w:rsid w:val="004F70DC"/>
    <w:rsid w:val="006D0412"/>
    <w:rsid w:val="00D00E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8"/>
      <w:lang w:val="vi-VN" w:eastAsia="en-US"/>
    </w:rPr>
  </w:style>
  <w:style w:type="paragraph" w:styleId="Heading1">
    <w:name w:val="heading 1"/>
    <w:basedOn w:val="Normal"/>
    <w:next w:val="Normal"/>
    <w:qFormat/>
    <w:pPr>
      <w:keepNext/>
      <w:ind w:right="-798" w:firstLine="720"/>
      <w:jc w:val="center"/>
      <w:outlineLvl w:val="0"/>
    </w:pPr>
    <w:rPr>
      <w:rFonts w:ascii=".VnTimeH" w:hAnsi=".VnTimeH"/>
      <w:b/>
    </w:rPr>
  </w:style>
  <w:style w:type="paragraph" w:styleId="Heading2">
    <w:name w:val="heading 2"/>
    <w:basedOn w:val="Normal"/>
    <w:next w:val="Normal"/>
    <w:link w:val="Heading2Char"/>
    <w:semiHidden/>
    <w:unhideWhenUsed/>
    <w:qFormat/>
    <w:pPr>
      <w:keepNext/>
      <w:spacing w:before="240" w:after="60"/>
      <w:outlineLvl w:val="1"/>
    </w:pPr>
    <w:rPr>
      <w:rFonts w:ascii="Calibri Light"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798"/>
    </w:pPr>
    <w:rPr>
      <w:sz w:val="20"/>
    </w:rPr>
  </w:style>
  <w:style w:type="paragraph" w:styleId="BodyTextIndent">
    <w:name w:val="Body Text Indent"/>
    <w:basedOn w:val="Normal"/>
    <w:pPr>
      <w:ind w:right="-624" w:firstLine="72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spacing w:before="12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customStyle="1" w:styleId="Char">
    <w:name w:val="Char"/>
    <w:basedOn w:val="Normal"/>
    <w:semiHidden/>
    <w:pPr>
      <w:spacing w:after="160" w:line="240" w:lineRule="exact"/>
    </w:pPr>
    <w:rPr>
      <w:rFonts w:ascii="Arial" w:hAnsi="Arial" w:cs="Arial"/>
      <w:sz w:val="22"/>
      <w:szCs w:val="22"/>
    </w:rPr>
  </w:style>
  <w:style w:type="paragraph" w:styleId="BodyTextIndent2">
    <w:name w:val="Body Text Indent 2"/>
    <w:basedOn w:val="Normal"/>
    <w:pPr>
      <w:spacing w:after="120" w:line="480" w:lineRule="auto"/>
      <w:ind w:left="360"/>
    </w:p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eastAsia="en-US"/>
    </w:rPr>
  </w:style>
  <w:style w:type="character" w:styleId="Strong">
    <w:name w:val="Strong"/>
    <w:qFormat/>
    <w:rPr>
      <w:b/>
      <w:bCs/>
    </w:rPr>
  </w:style>
  <w:style w:type="character" w:customStyle="1" w:styleId="Heading2Char">
    <w:name w:val="Heading 2 Char"/>
    <w:link w:val="Heading2"/>
    <w:semiHidden/>
    <w:rPr>
      <w:rFonts w:ascii="Calibri Light" w:eastAsia="Times New Roman" w:hAnsi="Calibri Light" w:cs="Times New Roman"/>
      <w:b/>
      <w:bCs/>
      <w:i/>
      <w:iCs/>
      <w:sz w:val="28"/>
      <w:szCs w:val="28"/>
    </w:rPr>
  </w:style>
  <w:style w:type="character" w:styleId="PageNumber">
    <w:name w:val="page number"/>
  </w:style>
  <w:style w:type="character" w:styleId="Hyperlink">
    <w:name w:val="Hyperlink"/>
    <w:rPr>
      <w:color w:val="0000FF"/>
      <w:u w:val="single"/>
    </w:rPr>
  </w:style>
  <w:style w:type="character" w:customStyle="1" w:styleId="FooterChar">
    <w:name w:val="Footer Char"/>
    <w:link w:val="Footer"/>
    <w:uiPriority w:val="99"/>
    <w:rPr>
      <w:sz w:val="28"/>
    </w:rPr>
  </w:style>
  <w:style w:type="paragraph" w:customStyle="1" w:styleId="CharCharCharChar">
    <w:name w:val="Char Char Char Char"/>
    <w:next w:val="Normal"/>
    <w:autoRedefine/>
    <w:semiHidden/>
    <w:pPr>
      <w:spacing w:after="160" w:line="240" w:lineRule="exact"/>
      <w:jc w:val="both"/>
    </w:pPr>
    <w:rPr>
      <w:sz w:val="28"/>
      <w:szCs w:val="22"/>
      <w:lang w:eastAsia="en-US"/>
    </w:rPr>
  </w:style>
  <w:style w:type="paragraph" w:customStyle="1" w:styleId="Body1">
    <w:name w:val="Body 1"/>
    <w:pPr>
      <w:outlineLvl w:val="0"/>
    </w:pPr>
    <w:rPr>
      <w:rFonts w:eastAsia="Arial Unicode MS"/>
      <w:color w:val="000000"/>
      <w:sz w:val="24"/>
      <w:u w:color="000000"/>
      <w:lang w:eastAsia="en-US"/>
    </w:rPr>
  </w:style>
  <w:style w:type="character" w:customStyle="1" w:styleId="HeaderChar">
    <w:name w:val="Header Char"/>
    <w:basedOn w:val="DefaultParagraphFont"/>
    <w:link w:val="Header"/>
    <w:uiPriority w:val="99"/>
    <w:rPr>
      <w:sz w:val="28"/>
      <w:lang w:val="vi-VN" w:eastAsia="en-US"/>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jc w:val="left"/>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8"/>
      <w:lang w:val="vi-VN" w:eastAsia="en-US"/>
    </w:rPr>
  </w:style>
  <w:style w:type="paragraph" w:styleId="Heading1">
    <w:name w:val="heading 1"/>
    <w:basedOn w:val="Normal"/>
    <w:next w:val="Normal"/>
    <w:qFormat/>
    <w:pPr>
      <w:keepNext/>
      <w:ind w:right="-798" w:firstLine="720"/>
      <w:jc w:val="center"/>
      <w:outlineLvl w:val="0"/>
    </w:pPr>
    <w:rPr>
      <w:rFonts w:ascii=".VnTimeH" w:hAnsi=".VnTimeH"/>
      <w:b/>
    </w:rPr>
  </w:style>
  <w:style w:type="paragraph" w:styleId="Heading2">
    <w:name w:val="heading 2"/>
    <w:basedOn w:val="Normal"/>
    <w:next w:val="Normal"/>
    <w:link w:val="Heading2Char"/>
    <w:semiHidden/>
    <w:unhideWhenUsed/>
    <w:qFormat/>
    <w:pPr>
      <w:keepNext/>
      <w:spacing w:before="240" w:after="60"/>
      <w:outlineLvl w:val="1"/>
    </w:pPr>
    <w:rPr>
      <w:rFonts w:ascii="Calibri Light"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798"/>
    </w:pPr>
    <w:rPr>
      <w:sz w:val="20"/>
    </w:rPr>
  </w:style>
  <w:style w:type="paragraph" w:styleId="BodyTextIndent">
    <w:name w:val="Body Text Indent"/>
    <w:basedOn w:val="Normal"/>
    <w:pPr>
      <w:ind w:right="-624" w:firstLine="72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spacing w:before="12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customStyle="1" w:styleId="Char">
    <w:name w:val="Char"/>
    <w:basedOn w:val="Normal"/>
    <w:semiHidden/>
    <w:pPr>
      <w:spacing w:after="160" w:line="240" w:lineRule="exact"/>
    </w:pPr>
    <w:rPr>
      <w:rFonts w:ascii="Arial" w:hAnsi="Arial" w:cs="Arial"/>
      <w:sz w:val="22"/>
      <w:szCs w:val="22"/>
    </w:rPr>
  </w:style>
  <w:style w:type="paragraph" w:styleId="BodyTextIndent2">
    <w:name w:val="Body Text Indent 2"/>
    <w:basedOn w:val="Normal"/>
    <w:pPr>
      <w:spacing w:after="120" w:line="480" w:lineRule="auto"/>
      <w:ind w:left="360"/>
    </w:p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eastAsia="en-US"/>
    </w:rPr>
  </w:style>
  <w:style w:type="character" w:styleId="Strong">
    <w:name w:val="Strong"/>
    <w:qFormat/>
    <w:rPr>
      <w:b/>
      <w:bCs/>
    </w:rPr>
  </w:style>
  <w:style w:type="character" w:customStyle="1" w:styleId="Heading2Char">
    <w:name w:val="Heading 2 Char"/>
    <w:link w:val="Heading2"/>
    <w:semiHidden/>
    <w:rPr>
      <w:rFonts w:ascii="Calibri Light" w:eastAsia="Times New Roman" w:hAnsi="Calibri Light" w:cs="Times New Roman"/>
      <w:b/>
      <w:bCs/>
      <w:i/>
      <w:iCs/>
      <w:sz w:val="28"/>
      <w:szCs w:val="28"/>
    </w:rPr>
  </w:style>
  <w:style w:type="character" w:styleId="PageNumber">
    <w:name w:val="page number"/>
  </w:style>
  <w:style w:type="character" w:styleId="Hyperlink">
    <w:name w:val="Hyperlink"/>
    <w:rPr>
      <w:color w:val="0000FF"/>
      <w:u w:val="single"/>
    </w:rPr>
  </w:style>
  <w:style w:type="character" w:customStyle="1" w:styleId="FooterChar">
    <w:name w:val="Footer Char"/>
    <w:link w:val="Footer"/>
    <w:uiPriority w:val="99"/>
    <w:rPr>
      <w:sz w:val="28"/>
    </w:rPr>
  </w:style>
  <w:style w:type="paragraph" w:customStyle="1" w:styleId="CharCharCharChar">
    <w:name w:val="Char Char Char Char"/>
    <w:next w:val="Normal"/>
    <w:autoRedefine/>
    <w:semiHidden/>
    <w:pPr>
      <w:spacing w:after="160" w:line="240" w:lineRule="exact"/>
      <w:jc w:val="both"/>
    </w:pPr>
    <w:rPr>
      <w:sz w:val="28"/>
      <w:szCs w:val="22"/>
      <w:lang w:eastAsia="en-US"/>
    </w:rPr>
  </w:style>
  <w:style w:type="paragraph" w:customStyle="1" w:styleId="Body1">
    <w:name w:val="Body 1"/>
    <w:pPr>
      <w:outlineLvl w:val="0"/>
    </w:pPr>
    <w:rPr>
      <w:rFonts w:eastAsia="Arial Unicode MS"/>
      <w:color w:val="000000"/>
      <w:sz w:val="24"/>
      <w:u w:color="000000"/>
      <w:lang w:eastAsia="en-US"/>
    </w:rPr>
  </w:style>
  <w:style w:type="character" w:customStyle="1" w:styleId="HeaderChar">
    <w:name w:val="Header Char"/>
    <w:basedOn w:val="DefaultParagraphFont"/>
    <w:link w:val="Header"/>
    <w:uiPriority w:val="99"/>
    <w:rPr>
      <w:sz w:val="28"/>
      <w:lang w:val="vi-VN" w:eastAsia="en-US"/>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5371">
      <w:bodyDiv w:val="1"/>
      <w:marLeft w:val="0"/>
      <w:marRight w:val="0"/>
      <w:marTop w:val="0"/>
      <w:marBottom w:val="0"/>
      <w:divBdr>
        <w:top w:val="none" w:sz="0" w:space="0" w:color="auto"/>
        <w:left w:val="none" w:sz="0" w:space="0" w:color="auto"/>
        <w:bottom w:val="none" w:sz="0" w:space="0" w:color="auto"/>
        <w:right w:val="none" w:sz="0" w:space="0" w:color="auto"/>
      </w:divBdr>
    </w:div>
    <w:div w:id="218515421">
      <w:bodyDiv w:val="1"/>
      <w:marLeft w:val="0"/>
      <w:marRight w:val="0"/>
      <w:marTop w:val="0"/>
      <w:marBottom w:val="0"/>
      <w:divBdr>
        <w:top w:val="none" w:sz="0" w:space="0" w:color="auto"/>
        <w:left w:val="none" w:sz="0" w:space="0" w:color="auto"/>
        <w:bottom w:val="none" w:sz="0" w:space="0" w:color="auto"/>
        <w:right w:val="none" w:sz="0" w:space="0" w:color="auto"/>
      </w:divBdr>
    </w:div>
    <w:div w:id="403836121">
      <w:bodyDiv w:val="1"/>
      <w:marLeft w:val="0"/>
      <w:marRight w:val="0"/>
      <w:marTop w:val="0"/>
      <w:marBottom w:val="0"/>
      <w:divBdr>
        <w:top w:val="none" w:sz="0" w:space="0" w:color="auto"/>
        <w:left w:val="none" w:sz="0" w:space="0" w:color="auto"/>
        <w:bottom w:val="none" w:sz="0" w:space="0" w:color="auto"/>
        <w:right w:val="none" w:sz="0" w:space="0" w:color="auto"/>
      </w:divBdr>
    </w:div>
    <w:div w:id="551769544">
      <w:bodyDiv w:val="1"/>
      <w:marLeft w:val="0"/>
      <w:marRight w:val="0"/>
      <w:marTop w:val="0"/>
      <w:marBottom w:val="0"/>
      <w:divBdr>
        <w:top w:val="none" w:sz="0" w:space="0" w:color="auto"/>
        <w:left w:val="none" w:sz="0" w:space="0" w:color="auto"/>
        <w:bottom w:val="none" w:sz="0" w:space="0" w:color="auto"/>
        <w:right w:val="none" w:sz="0" w:space="0" w:color="auto"/>
      </w:divBdr>
    </w:div>
    <w:div w:id="979112845">
      <w:bodyDiv w:val="1"/>
      <w:marLeft w:val="0"/>
      <w:marRight w:val="0"/>
      <w:marTop w:val="0"/>
      <w:marBottom w:val="0"/>
      <w:divBdr>
        <w:top w:val="none" w:sz="0" w:space="0" w:color="auto"/>
        <w:left w:val="none" w:sz="0" w:space="0" w:color="auto"/>
        <w:bottom w:val="none" w:sz="0" w:space="0" w:color="auto"/>
        <w:right w:val="none" w:sz="0" w:space="0" w:color="auto"/>
      </w:divBdr>
    </w:div>
    <w:div w:id="1022822273">
      <w:bodyDiv w:val="1"/>
      <w:marLeft w:val="0"/>
      <w:marRight w:val="0"/>
      <w:marTop w:val="0"/>
      <w:marBottom w:val="0"/>
      <w:divBdr>
        <w:top w:val="none" w:sz="0" w:space="0" w:color="auto"/>
        <w:left w:val="none" w:sz="0" w:space="0" w:color="auto"/>
        <w:bottom w:val="none" w:sz="0" w:space="0" w:color="auto"/>
        <w:right w:val="none" w:sz="0" w:space="0" w:color="auto"/>
      </w:divBdr>
    </w:div>
    <w:div w:id="1116750333">
      <w:bodyDiv w:val="1"/>
      <w:marLeft w:val="0"/>
      <w:marRight w:val="0"/>
      <w:marTop w:val="0"/>
      <w:marBottom w:val="0"/>
      <w:divBdr>
        <w:top w:val="none" w:sz="0" w:space="0" w:color="auto"/>
        <w:left w:val="none" w:sz="0" w:space="0" w:color="auto"/>
        <w:bottom w:val="none" w:sz="0" w:space="0" w:color="auto"/>
        <w:right w:val="none" w:sz="0" w:space="0" w:color="auto"/>
      </w:divBdr>
    </w:div>
    <w:div w:id="1388724808">
      <w:bodyDiv w:val="1"/>
      <w:marLeft w:val="0"/>
      <w:marRight w:val="0"/>
      <w:marTop w:val="0"/>
      <w:marBottom w:val="0"/>
      <w:divBdr>
        <w:top w:val="none" w:sz="0" w:space="0" w:color="auto"/>
        <w:left w:val="none" w:sz="0" w:space="0" w:color="auto"/>
        <w:bottom w:val="none" w:sz="0" w:space="0" w:color="auto"/>
        <w:right w:val="none" w:sz="0" w:space="0" w:color="auto"/>
      </w:divBdr>
    </w:div>
    <w:div w:id="1438335165">
      <w:bodyDiv w:val="1"/>
      <w:marLeft w:val="0"/>
      <w:marRight w:val="0"/>
      <w:marTop w:val="0"/>
      <w:marBottom w:val="0"/>
      <w:divBdr>
        <w:top w:val="none" w:sz="0" w:space="0" w:color="auto"/>
        <w:left w:val="none" w:sz="0" w:space="0" w:color="auto"/>
        <w:bottom w:val="none" w:sz="0" w:space="0" w:color="auto"/>
        <w:right w:val="none" w:sz="0" w:space="0" w:color="auto"/>
      </w:divBdr>
    </w:div>
    <w:div w:id="1810517241">
      <w:bodyDiv w:val="1"/>
      <w:marLeft w:val="0"/>
      <w:marRight w:val="0"/>
      <w:marTop w:val="0"/>
      <w:marBottom w:val="0"/>
      <w:divBdr>
        <w:top w:val="none" w:sz="0" w:space="0" w:color="auto"/>
        <w:left w:val="none" w:sz="0" w:space="0" w:color="auto"/>
        <w:bottom w:val="none" w:sz="0" w:space="0" w:color="auto"/>
        <w:right w:val="none" w:sz="0" w:space="0" w:color="auto"/>
      </w:divBdr>
    </w:div>
    <w:div w:id="2090693485">
      <w:bodyDiv w:val="1"/>
      <w:marLeft w:val="0"/>
      <w:marRight w:val="0"/>
      <w:marTop w:val="0"/>
      <w:marBottom w:val="0"/>
      <w:divBdr>
        <w:top w:val="none" w:sz="0" w:space="0" w:color="auto"/>
        <w:left w:val="none" w:sz="0" w:space="0" w:color="auto"/>
        <w:bottom w:val="none" w:sz="0" w:space="0" w:color="auto"/>
        <w:right w:val="none" w:sz="0" w:space="0" w:color="auto"/>
      </w:divBdr>
    </w:div>
    <w:div w:id="212441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053A5-7D92-43A8-8C28-DDC2F64B3521}">
  <ds:schemaRefs>
    <ds:schemaRef ds:uri="http://schemas.openxmlformats.org/officeDocument/2006/bibliography"/>
  </ds:schemaRefs>
</ds:datastoreItem>
</file>

<file path=customXml/itemProps2.xml><?xml version="1.0" encoding="utf-8"?>
<ds:datastoreItem xmlns:ds="http://schemas.openxmlformats.org/officeDocument/2006/customXml" ds:itemID="{56161D8A-4E9A-4862-A662-B9F28F0C55C1}"/>
</file>

<file path=customXml/itemProps3.xml><?xml version="1.0" encoding="utf-8"?>
<ds:datastoreItem xmlns:ds="http://schemas.openxmlformats.org/officeDocument/2006/customXml" ds:itemID="{249914B1-D4BC-4BFA-A0D0-3094FD7BCA8F}"/>
</file>

<file path=customXml/itemProps4.xml><?xml version="1.0" encoding="utf-8"?>
<ds:datastoreItem xmlns:ds="http://schemas.openxmlformats.org/officeDocument/2006/customXml" ds:itemID="{D4AD4A7E-3BD5-4B8D-954A-EA5E0C7255D9}"/>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Phòng Quản lý Chất lượng công trình xây dựng - Sở Xây dựng</vt:lpstr>
    </vt:vector>
  </TitlesOfParts>
  <Company>Moste</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Chất lượng công trình xây dựng - Sở Xây dựng</dc:title>
  <dc:creator>TÙNG NGUYỄN KHÁNH</dc:creator>
  <cp:keywords>FoxChit SOFTWARE SOLUTIONS</cp:keywords>
  <cp:lastModifiedBy>Acer</cp:lastModifiedBy>
  <cp:revision>2</cp:revision>
  <cp:lastPrinted>2022-10-31T07:15:00Z</cp:lastPrinted>
  <dcterms:created xsi:type="dcterms:W3CDTF">2025-03-24T03:30:00Z</dcterms:created>
  <dcterms:modified xsi:type="dcterms:W3CDTF">2025-03-24T03:30:00Z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