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08" w:type="dxa"/>
        <w:tblLook w:val="01E0" w:firstRow="1" w:lastRow="1" w:firstColumn="1" w:lastColumn="1" w:noHBand="0" w:noVBand="0"/>
      </w:tblPr>
      <w:tblGrid>
        <w:gridCol w:w="3652"/>
        <w:gridCol w:w="5812"/>
      </w:tblGrid>
      <w:tr w:rsidR="00773EE2" w:rsidRPr="006132FE" w:rsidTr="00773EE2">
        <w:tc>
          <w:tcPr>
            <w:tcW w:w="3652" w:type="dxa"/>
          </w:tcPr>
          <w:p w:rsidR="00773EE2" w:rsidRPr="006132FE" w:rsidRDefault="00773EE2" w:rsidP="00454EDE">
            <w:pPr>
              <w:spacing w:after="0" w:line="240" w:lineRule="auto"/>
              <w:jc w:val="center"/>
              <w:rPr>
                <w:b/>
                <w:szCs w:val="26"/>
              </w:rPr>
            </w:pPr>
            <w:bookmarkStart w:id="0" w:name="_GoBack"/>
            <w:bookmarkEnd w:id="0"/>
            <w:r w:rsidRPr="006132FE">
              <w:rPr>
                <w:b/>
                <w:szCs w:val="26"/>
              </w:rPr>
              <w:t>ỦY BAN NHÂN DÂN</w:t>
            </w:r>
          </w:p>
          <w:p w:rsidR="00773EE2" w:rsidRPr="006132FE" w:rsidRDefault="00773EE2" w:rsidP="00454EDE">
            <w:pPr>
              <w:spacing w:after="0" w:line="240" w:lineRule="auto"/>
              <w:jc w:val="center"/>
              <w:rPr>
                <w:szCs w:val="26"/>
              </w:rPr>
            </w:pPr>
            <w:r w:rsidRPr="006132FE">
              <w:rPr>
                <w:b/>
                <w:noProof/>
                <w:szCs w:val="26"/>
              </w:rPr>
              <mc:AlternateContent>
                <mc:Choice Requires="wps">
                  <w:drawing>
                    <wp:anchor distT="0" distB="0" distL="114300" distR="114300" simplePos="0" relativeHeight="251662336" behindDoc="0" locked="0" layoutInCell="1" allowOverlap="1" wp14:anchorId="124415D5" wp14:editId="5906366A">
                      <wp:simplePos x="0" y="0"/>
                      <wp:positionH relativeFrom="column">
                        <wp:posOffset>539750</wp:posOffset>
                      </wp:positionH>
                      <wp:positionV relativeFrom="paragraph">
                        <wp:posOffset>200660</wp:posOffset>
                      </wp:positionV>
                      <wp:extent cx="830580" cy="0"/>
                      <wp:effectExtent l="6350" t="10160" r="10795"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1A0FA2"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8pt" to="107.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pM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aTpbgG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"/>
                  </w:pict>
                </mc:Fallback>
              </mc:AlternateContent>
            </w:r>
            <w:r w:rsidRPr="006132FE">
              <w:rPr>
                <w:b/>
                <w:szCs w:val="26"/>
              </w:rPr>
              <w:t>TỈNH THANH HÓA</w:t>
            </w:r>
          </w:p>
        </w:tc>
        <w:tc>
          <w:tcPr>
            <w:tcW w:w="5812" w:type="dxa"/>
          </w:tcPr>
          <w:p w:rsidR="00773EE2" w:rsidRPr="006132FE" w:rsidRDefault="00773EE2" w:rsidP="00454EDE">
            <w:pPr>
              <w:spacing w:after="0" w:line="240" w:lineRule="auto"/>
              <w:jc w:val="center"/>
              <w:rPr>
                <w:b/>
                <w:szCs w:val="26"/>
              </w:rPr>
            </w:pPr>
            <w:r w:rsidRPr="006132FE">
              <w:rPr>
                <w:b/>
                <w:szCs w:val="26"/>
              </w:rPr>
              <w:t>CỘNG HÒA XÃ HỘI CHỦ NGHĨA VIỆT NAM</w:t>
            </w:r>
          </w:p>
          <w:p w:rsidR="00773EE2" w:rsidRPr="006132FE" w:rsidRDefault="00773EE2" w:rsidP="00454EDE">
            <w:pPr>
              <w:spacing w:after="0" w:line="240" w:lineRule="auto"/>
              <w:jc w:val="center"/>
              <w:rPr>
                <w:i/>
                <w:sz w:val="28"/>
                <w:szCs w:val="28"/>
              </w:rPr>
            </w:pPr>
            <w:r w:rsidRPr="006132FE">
              <w:rPr>
                <w:b/>
                <w:sz w:val="28"/>
                <w:szCs w:val="28"/>
              </w:rPr>
              <w:t xml:space="preserve">Độc lập </w:t>
            </w:r>
            <w:r w:rsidRPr="006132FE">
              <w:rPr>
                <w:sz w:val="28"/>
                <w:szCs w:val="28"/>
              </w:rPr>
              <w:t>-</w:t>
            </w:r>
            <w:r w:rsidRPr="006132FE">
              <w:rPr>
                <w:b/>
                <w:sz w:val="28"/>
                <w:szCs w:val="28"/>
              </w:rPr>
              <w:t xml:space="preserve"> Tự do </w:t>
            </w:r>
            <w:r w:rsidRPr="006132FE">
              <w:rPr>
                <w:sz w:val="28"/>
                <w:szCs w:val="28"/>
              </w:rPr>
              <w:t>-</w:t>
            </w:r>
            <w:r w:rsidRPr="006132FE">
              <w:rPr>
                <w:b/>
                <w:sz w:val="28"/>
                <w:szCs w:val="28"/>
              </w:rPr>
              <w:t xml:space="preserve"> Hạnh phúc</w:t>
            </w:r>
            <w:r w:rsidRPr="006132FE">
              <w:rPr>
                <w:i/>
                <w:sz w:val="28"/>
                <w:szCs w:val="28"/>
              </w:rPr>
              <w:t xml:space="preserve">      </w:t>
            </w:r>
          </w:p>
        </w:tc>
      </w:tr>
      <w:tr w:rsidR="00773EE2" w:rsidRPr="006132FE" w:rsidTr="00773EE2">
        <w:tc>
          <w:tcPr>
            <w:tcW w:w="3652" w:type="dxa"/>
          </w:tcPr>
          <w:p w:rsidR="00773EE2" w:rsidRPr="006132FE" w:rsidRDefault="00773EE2" w:rsidP="00454EDE">
            <w:pPr>
              <w:spacing w:after="0" w:line="240" w:lineRule="auto"/>
              <w:jc w:val="center"/>
              <w:rPr>
                <w:b/>
                <w:sz w:val="10"/>
                <w:szCs w:val="28"/>
              </w:rPr>
            </w:pPr>
          </w:p>
        </w:tc>
        <w:tc>
          <w:tcPr>
            <w:tcW w:w="5812" w:type="dxa"/>
          </w:tcPr>
          <w:p w:rsidR="00773EE2" w:rsidRPr="006132FE" w:rsidRDefault="00773EE2" w:rsidP="00454EDE">
            <w:pPr>
              <w:spacing w:after="0" w:line="240" w:lineRule="auto"/>
              <w:jc w:val="center"/>
              <w:rPr>
                <w:b/>
                <w:sz w:val="10"/>
                <w:szCs w:val="28"/>
              </w:rPr>
            </w:pPr>
            <w:r w:rsidRPr="006132FE">
              <w:rPr>
                <w:i/>
                <w:noProof/>
                <w:sz w:val="28"/>
                <w:szCs w:val="28"/>
              </w:rPr>
              <mc:AlternateContent>
                <mc:Choice Requires="wps">
                  <w:drawing>
                    <wp:anchor distT="0" distB="0" distL="114300" distR="114300" simplePos="0" relativeHeight="251663360" behindDoc="0" locked="0" layoutInCell="1" allowOverlap="1" wp14:anchorId="5E625686" wp14:editId="7D9E4099">
                      <wp:simplePos x="0" y="0"/>
                      <wp:positionH relativeFrom="column">
                        <wp:posOffset>675781</wp:posOffset>
                      </wp:positionH>
                      <wp:positionV relativeFrom="paragraph">
                        <wp:posOffset>13970</wp:posOffset>
                      </wp:positionV>
                      <wp:extent cx="2178755" cy="11289"/>
                      <wp:effectExtent l="0" t="0" r="31115" b="2730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8755" cy="112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CB7B8C" id="Line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1pt" to="22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P4HQIAADY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"/>
                  </w:pict>
                </mc:Fallback>
              </mc:AlternateContent>
            </w:r>
          </w:p>
        </w:tc>
      </w:tr>
      <w:tr w:rsidR="00773EE2" w:rsidRPr="006132FE" w:rsidTr="00773EE2">
        <w:tc>
          <w:tcPr>
            <w:tcW w:w="3652" w:type="dxa"/>
          </w:tcPr>
          <w:p w:rsidR="00773EE2" w:rsidRPr="006132FE" w:rsidRDefault="00773EE2" w:rsidP="00FB4504">
            <w:pPr>
              <w:spacing w:before="120" w:after="0" w:line="240" w:lineRule="auto"/>
              <w:jc w:val="center"/>
              <w:rPr>
                <w:b/>
                <w:sz w:val="28"/>
                <w:szCs w:val="28"/>
              </w:rPr>
            </w:pPr>
            <w:r w:rsidRPr="006132FE">
              <w:rPr>
                <w:sz w:val="28"/>
                <w:szCs w:val="28"/>
              </w:rPr>
              <w:t xml:space="preserve">Số:           /TTr - </w:t>
            </w:r>
            <w:r>
              <w:rPr>
                <w:sz w:val="28"/>
                <w:szCs w:val="28"/>
              </w:rPr>
              <w:t>UBND</w:t>
            </w:r>
          </w:p>
        </w:tc>
        <w:tc>
          <w:tcPr>
            <w:tcW w:w="5812" w:type="dxa"/>
          </w:tcPr>
          <w:p w:rsidR="00773EE2" w:rsidRPr="006132FE" w:rsidRDefault="00773EE2" w:rsidP="002B5883">
            <w:pPr>
              <w:spacing w:before="120" w:after="0" w:line="240" w:lineRule="auto"/>
              <w:jc w:val="center"/>
              <w:rPr>
                <w:b/>
                <w:sz w:val="28"/>
                <w:szCs w:val="28"/>
              </w:rPr>
            </w:pPr>
            <w:r w:rsidRPr="006132FE">
              <w:rPr>
                <w:i/>
                <w:sz w:val="28"/>
                <w:szCs w:val="28"/>
              </w:rPr>
              <w:t>Thanh Hóa, ngày      tháng     năm 202</w:t>
            </w:r>
            <w:r w:rsidR="002B5883">
              <w:rPr>
                <w:i/>
                <w:sz w:val="28"/>
                <w:szCs w:val="28"/>
              </w:rPr>
              <w:t>4</w:t>
            </w:r>
          </w:p>
        </w:tc>
      </w:tr>
    </w:tbl>
    <w:p w:rsidR="007108A6" w:rsidRDefault="00B14393" w:rsidP="00065693">
      <w:pPr>
        <w:spacing w:after="0" w:line="240" w:lineRule="auto"/>
        <w:jc w:val="center"/>
        <w:rPr>
          <w:b/>
          <w:sz w:val="28"/>
        </w:rPr>
      </w:pPr>
      <w:r w:rsidRPr="006132FE">
        <w:rPr>
          <w:noProof/>
          <w:sz w:val="28"/>
          <w:szCs w:val="28"/>
        </w:rPr>
        <mc:AlternateContent>
          <mc:Choice Requires="wps">
            <w:drawing>
              <wp:anchor distT="0" distB="0" distL="114300" distR="114300" simplePos="0" relativeHeight="251665408" behindDoc="0" locked="0" layoutInCell="1" allowOverlap="1" wp14:anchorId="38255C2C" wp14:editId="0C4DD6B5">
                <wp:simplePos x="0" y="0"/>
                <wp:positionH relativeFrom="column">
                  <wp:posOffset>509270</wp:posOffset>
                </wp:positionH>
                <wp:positionV relativeFrom="paragraph">
                  <wp:posOffset>196215</wp:posOffset>
                </wp:positionV>
                <wp:extent cx="1099820" cy="311785"/>
                <wp:effectExtent l="0" t="0" r="24130" b="12065"/>
                <wp:wrapNone/>
                <wp:docPr id="5" name="Text Box 5"/>
                <wp:cNvGraphicFramePr/>
                <a:graphic xmlns:a="http://schemas.openxmlformats.org/drawingml/2006/main">
                  <a:graphicData uri="http://schemas.microsoft.com/office/word/2010/wordprocessingShape">
                    <wps:wsp>
                      <wps:cNvSpPr txBox="1"/>
                      <wps:spPr>
                        <a:xfrm>
                          <a:off x="0" y="0"/>
                          <a:ext cx="1099820" cy="311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4EDE" w:rsidRPr="003E157E" w:rsidRDefault="00454EDE" w:rsidP="00773EE2">
                            <w:pPr>
                              <w:jc w:val="center"/>
                              <w:rPr>
                                <w:sz w:val="28"/>
                                <w:szCs w:val="28"/>
                              </w:rPr>
                            </w:pPr>
                            <w:r w:rsidRPr="003E157E">
                              <w:rPr>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1pt;margin-top:15.45pt;width:86.6pt;height:24.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" fillcolor="white [3201]" strokeweight=".5pt">
                <v:textbox>
                  <w:txbxContent>
                    <w:p w:rsidR="00454EDE" w:rsidRPr="003E157E" w:rsidRDefault="00454EDE" w:rsidP="00773EE2">
                      <w:pPr>
                        <w:jc w:val="center"/>
                        <w:rPr>
                          <w:sz w:val="28"/>
                          <w:szCs w:val="28"/>
                        </w:rPr>
                      </w:pPr>
                      <w:r w:rsidRPr="003E157E">
                        <w:rPr>
                          <w:sz w:val="28"/>
                          <w:szCs w:val="28"/>
                        </w:rPr>
                        <w:t>DỰ THẢO</w:t>
                      </w:r>
                    </w:p>
                  </w:txbxContent>
                </v:textbox>
              </v:shape>
            </w:pict>
          </mc:Fallback>
        </mc:AlternateContent>
      </w:r>
    </w:p>
    <w:p w:rsidR="00773EE2" w:rsidRDefault="00773EE2" w:rsidP="00065693">
      <w:pPr>
        <w:spacing w:after="0" w:line="240" w:lineRule="auto"/>
        <w:jc w:val="center"/>
        <w:rPr>
          <w:b/>
          <w:sz w:val="28"/>
        </w:rPr>
      </w:pPr>
    </w:p>
    <w:p w:rsidR="00B14393" w:rsidRDefault="00B14393" w:rsidP="00065693">
      <w:pPr>
        <w:spacing w:after="0" w:line="240" w:lineRule="auto"/>
        <w:jc w:val="center"/>
        <w:rPr>
          <w:b/>
          <w:sz w:val="28"/>
        </w:rPr>
      </w:pPr>
    </w:p>
    <w:p w:rsidR="00065693" w:rsidRPr="00642BC8" w:rsidRDefault="00065693" w:rsidP="00065693">
      <w:pPr>
        <w:spacing w:after="0" w:line="240" w:lineRule="auto"/>
        <w:jc w:val="center"/>
        <w:rPr>
          <w:b/>
          <w:sz w:val="28"/>
        </w:rPr>
      </w:pPr>
      <w:r w:rsidRPr="00642BC8">
        <w:rPr>
          <w:b/>
          <w:sz w:val="28"/>
        </w:rPr>
        <w:t>TỜ TRÌNH</w:t>
      </w:r>
    </w:p>
    <w:p w:rsidR="00065693" w:rsidRPr="004061FA" w:rsidRDefault="00065693" w:rsidP="00573951">
      <w:pPr>
        <w:spacing w:after="0" w:line="240" w:lineRule="auto"/>
        <w:jc w:val="center"/>
        <w:rPr>
          <w:b/>
          <w:sz w:val="28"/>
          <w:szCs w:val="28"/>
        </w:rPr>
      </w:pPr>
      <w:r w:rsidRPr="004061FA">
        <w:rPr>
          <w:b/>
          <w:sz w:val="28"/>
          <w:szCs w:val="28"/>
        </w:rPr>
        <w:t xml:space="preserve">Về việc </w:t>
      </w:r>
      <w:r w:rsidR="001647CB" w:rsidRPr="004061FA">
        <w:rPr>
          <w:b/>
          <w:sz w:val="28"/>
          <w:szCs w:val="28"/>
        </w:rPr>
        <w:t xml:space="preserve">ban hành tiêu chuẩn, định mức sử dụng máy móc, thiết bị </w:t>
      </w:r>
      <w:r w:rsidR="00CF0338">
        <w:rPr>
          <w:b/>
          <w:sz w:val="28"/>
          <w:szCs w:val="28"/>
        </w:rPr>
        <w:t xml:space="preserve">chuyên dùng </w:t>
      </w:r>
      <w:r w:rsidR="001647CB" w:rsidRPr="004061FA">
        <w:rPr>
          <w:b/>
          <w:iCs/>
          <w:sz w:val="28"/>
          <w:szCs w:val="28"/>
        </w:rPr>
        <w:t xml:space="preserve">cho </w:t>
      </w:r>
      <w:r w:rsidR="00573951" w:rsidRPr="00573951">
        <w:rPr>
          <w:b/>
          <w:iCs/>
          <w:sz w:val="28"/>
          <w:szCs w:val="28"/>
        </w:rPr>
        <w:t>Trường Đại học Hồng Đức và Trường Đại học Văn hóa, Thể thao và Du lịch Thanh Hóa</w:t>
      </w:r>
    </w:p>
    <w:p w:rsidR="00162356" w:rsidRPr="004061FA" w:rsidRDefault="00883175" w:rsidP="004061FA">
      <w:pPr>
        <w:ind w:firstLine="720"/>
        <w:jc w:val="both"/>
        <w:rPr>
          <w:sz w:val="28"/>
          <w:szCs w:val="28"/>
        </w:rPr>
      </w:pPr>
      <w:r w:rsidRPr="004061FA">
        <w:rPr>
          <w:bCs/>
          <w:noProof/>
          <w:sz w:val="28"/>
          <w:szCs w:val="28"/>
        </w:rPr>
        <mc:AlternateContent>
          <mc:Choice Requires="wps">
            <w:drawing>
              <wp:anchor distT="0" distB="0" distL="114300" distR="114300" simplePos="0" relativeHeight="251667456" behindDoc="0" locked="0" layoutInCell="1" allowOverlap="1" wp14:anchorId="6C898B09" wp14:editId="73A7C42A">
                <wp:simplePos x="0" y="0"/>
                <wp:positionH relativeFrom="column">
                  <wp:posOffset>2244090</wp:posOffset>
                </wp:positionH>
                <wp:positionV relativeFrom="paragraph">
                  <wp:posOffset>34290</wp:posOffset>
                </wp:positionV>
                <wp:extent cx="12382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2.7pt" to="27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yf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"/>
            </w:pict>
          </mc:Fallback>
        </mc:AlternateContent>
      </w:r>
    </w:p>
    <w:p w:rsidR="00E621EE" w:rsidRPr="004061FA" w:rsidRDefault="00E621EE" w:rsidP="004061FA">
      <w:pPr>
        <w:spacing w:before="240" w:after="240" w:line="307" w:lineRule="auto"/>
        <w:jc w:val="center"/>
        <w:rPr>
          <w:sz w:val="28"/>
          <w:szCs w:val="28"/>
        </w:rPr>
      </w:pPr>
      <w:r w:rsidRPr="004061FA">
        <w:rPr>
          <w:sz w:val="28"/>
          <w:szCs w:val="28"/>
        </w:rPr>
        <w:t xml:space="preserve">Kính gửi: </w:t>
      </w:r>
      <w:r w:rsidR="00773EE2" w:rsidRPr="004061FA">
        <w:rPr>
          <w:sz w:val="28"/>
          <w:szCs w:val="28"/>
        </w:rPr>
        <w:t>Thường trực Hội đồng</w:t>
      </w:r>
      <w:r w:rsidRPr="004061FA">
        <w:rPr>
          <w:sz w:val="28"/>
          <w:szCs w:val="28"/>
        </w:rPr>
        <w:t xml:space="preserve"> nhân dân tỉnh Thanh Hóa.</w:t>
      </w:r>
    </w:p>
    <w:p w:rsidR="00773EE2" w:rsidRPr="004061FA" w:rsidRDefault="00773EE2" w:rsidP="00573951">
      <w:pPr>
        <w:spacing w:after="0" w:line="252" w:lineRule="auto"/>
        <w:ind w:firstLine="720"/>
        <w:jc w:val="both"/>
        <w:rPr>
          <w:b/>
          <w:iCs/>
          <w:sz w:val="28"/>
          <w:szCs w:val="28"/>
        </w:rPr>
      </w:pPr>
      <w:r w:rsidRPr="004061FA">
        <w:rPr>
          <w:rFonts w:cs="Times New Roman"/>
          <w:color w:val="000000"/>
          <w:sz w:val="28"/>
          <w:szCs w:val="28"/>
        </w:rPr>
        <w:t>Thực hiện quy định của Luật Quản lý, sử dụng tài sản công năm 2017,</w:t>
      </w:r>
      <w:r w:rsidRPr="004061FA">
        <w:rPr>
          <w:color w:val="000000"/>
          <w:sz w:val="28"/>
          <w:szCs w:val="28"/>
        </w:rPr>
        <w:br/>
      </w:r>
      <w:r w:rsidRPr="004061FA">
        <w:rPr>
          <w:rFonts w:cs="Times New Roman"/>
          <w:color w:val="000000"/>
          <w:sz w:val="28"/>
          <w:szCs w:val="28"/>
        </w:rPr>
        <w:t>các văn bản quy định chi tiết thực hiện Luật Quản lý, sử dụng tài sản công và</w:t>
      </w:r>
      <w:r w:rsidRPr="004061FA">
        <w:rPr>
          <w:color w:val="000000"/>
          <w:sz w:val="28"/>
          <w:szCs w:val="28"/>
        </w:rPr>
        <w:br/>
      </w:r>
      <w:r w:rsidRPr="004061FA">
        <w:rPr>
          <w:rFonts w:cs="Times New Roman"/>
          <w:color w:val="000000"/>
          <w:sz w:val="28"/>
          <w:szCs w:val="28"/>
        </w:rPr>
        <w:t>chỉ đạo của Bộ Tài chính tại Công văn số 2375/BTC-QLCS ngày 15/3/2023</w:t>
      </w:r>
      <w:r w:rsidR="00883175" w:rsidRPr="004061FA">
        <w:rPr>
          <w:rFonts w:cs="Times New Roman"/>
          <w:color w:val="000000"/>
          <w:sz w:val="28"/>
          <w:szCs w:val="28"/>
        </w:rPr>
        <w:t xml:space="preserve"> về việc rà soát, hoàn thiện các văn bản thuộc thẩm quyền ban hành của Bộ, cơ quan trung ương, địa phương về quản lý, sử dụng tài sản công</w:t>
      </w:r>
      <w:r w:rsidRPr="004061FA">
        <w:rPr>
          <w:rFonts w:cs="Times New Roman"/>
          <w:color w:val="000000"/>
          <w:sz w:val="28"/>
          <w:szCs w:val="28"/>
        </w:rPr>
        <w:t>;</w:t>
      </w:r>
      <w:r w:rsidR="00883175" w:rsidRPr="004061FA">
        <w:rPr>
          <w:rFonts w:cs="Times New Roman"/>
          <w:color w:val="000000"/>
          <w:sz w:val="28"/>
          <w:szCs w:val="28"/>
        </w:rPr>
        <w:t xml:space="preserve"> </w:t>
      </w:r>
      <w:r w:rsidRPr="004061FA">
        <w:rPr>
          <w:rFonts w:cs="Times New Roman"/>
          <w:color w:val="000000"/>
          <w:sz w:val="28"/>
          <w:szCs w:val="28"/>
        </w:rPr>
        <w:t xml:space="preserve">trên cơ sở tham mưu của Sở </w:t>
      </w:r>
      <w:r w:rsidR="001647CB" w:rsidRPr="004061FA">
        <w:rPr>
          <w:rFonts w:cs="Times New Roman"/>
          <w:color w:val="000000"/>
          <w:sz w:val="28"/>
          <w:szCs w:val="28"/>
        </w:rPr>
        <w:t>Tài chính</w:t>
      </w:r>
      <w:r w:rsidRPr="004061FA">
        <w:rPr>
          <w:rFonts w:cs="Times New Roman"/>
          <w:color w:val="000000"/>
          <w:sz w:val="28"/>
          <w:szCs w:val="28"/>
        </w:rPr>
        <w:t xml:space="preserve"> tại </w:t>
      </w:r>
      <w:r w:rsidR="001647CB" w:rsidRPr="004061FA">
        <w:rPr>
          <w:rFonts w:cs="Times New Roman"/>
          <w:color w:val="000000"/>
          <w:sz w:val="28"/>
          <w:szCs w:val="28"/>
        </w:rPr>
        <w:t>Tờ trình</w:t>
      </w:r>
      <w:r w:rsidRPr="004061FA">
        <w:rPr>
          <w:rFonts w:cs="Times New Roman"/>
          <w:color w:val="000000"/>
          <w:sz w:val="28"/>
          <w:szCs w:val="28"/>
        </w:rPr>
        <w:t xml:space="preserve"> số </w:t>
      </w:r>
      <w:r w:rsidR="001647CB" w:rsidRPr="004061FA">
        <w:rPr>
          <w:rFonts w:cs="Times New Roman"/>
          <w:color w:val="000000"/>
          <w:sz w:val="28"/>
          <w:szCs w:val="28"/>
        </w:rPr>
        <w:t xml:space="preserve">        </w:t>
      </w:r>
      <w:r w:rsidR="00883175" w:rsidRPr="004061FA">
        <w:rPr>
          <w:rFonts w:cs="Times New Roman"/>
          <w:color w:val="000000"/>
          <w:sz w:val="28"/>
          <w:szCs w:val="28"/>
        </w:rPr>
        <w:t>/</w:t>
      </w:r>
      <w:r w:rsidR="001647CB" w:rsidRPr="004061FA">
        <w:rPr>
          <w:rFonts w:cs="Times New Roman"/>
          <w:color w:val="000000"/>
          <w:sz w:val="28"/>
          <w:szCs w:val="28"/>
        </w:rPr>
        <w:t>TTr-STC</w:t>
      </w:r>
      <w:r w:rsidR="008A42CF" w:rsidRPr="004061FA">
        <w:rPr>
          <w:rFonts w:cs="Times New Roman"/>
          <w:color w:val="000000"/>
          <w:sz w:val="28"/>
          <w:szCs w:val="28"/>
        </w:rPr>
        <w:t xml:space="preserve"> </w:t>
      </w:r>
      <w:r w:rsidRPr="004061FA">
        <w:rPr>
          <w:rFonts w:cs="Times New Roman"/>
          <w:color w:val="000000"/>
          <w:sz w:val="28"/>
          <w:szCs w:val="28"/>
        </w:rPr>
        <w:t xml:space="preserve">ngày </w:t>
      </w:r>
      <w:r w:rsidR="008A42CF" w:rsidRPr="004061FA">
        <w:rPr>
          <w:rFonts w:cs="Times New Roman"/>
          <w:color w:val="000000"/>
          <w:sz w:val="28"/>
          <w:szCs w:val="28"/>
        </w:rPr>
        <w:t xml:space="preserve">  </w:t>
      </w:r>
      <w:r w:rsidRPr="004061FA">
        <w:rPr>
          <w:rFonts w:cs="Times New Roman"/>
          <w:color w:val="000000"/>
          <w:sz w:val="28"/>
          <w:szCs w:val="28"/>
        </w:rPr>
        <w:t>/</w:t>
      </w:r>
      <w:r w:rsidR="001647CB" w:rsidRPr="004061FA">
        <w:rPr>
          <w:rFonts w:cs="Times New Roman"/>
          <w:color w:val="000000"/>
          <w:sz w:val="28"/>
          <w:szCs w:val="28"/>
        </w:rPr>
        <w:t>12</w:t>
      </w:r>
      <w:r w:rsidRPr="004061FA">
        <w:rPr>
          <w:rFonts w:cs="Times New Roman"/>
          <w:color w:val="000000"/>
          <w:sz w:val="28"/>
          <w:szCs w:val="28"/>
        </w:rPr>
        <w:t>/2023</w:t>
      </w:r>
      <w:r w:rsidR="008A42CF" w:rsidRPr="004061FA">
        <w:rPr>
          <w:rFonts w:cs="Times New Roman"/>
          <w:color w:val="000000"/>
          <w:sz w:val="28"/>
          <w:szCs w:val="28"/>
        </w:rPr>
        <w:t>, UBND tỉnh Thanh Hóa trình Thường trực HĐND tỉ</w:t>
      </w:r>
      <w:r w:rsidR="0022604D" w:rsidRPr="004061FA">
        <w:rPr>
          <w:rFonts w:cs="Times New Roman"/>
          <w:color w:val="000000"/>
          <w:sz w:val="28"/>
          <w:szCs w:val="28"/>
        </w:rPr>
        <w:t>nh về</w:t>
      </w:r>
      <w:r w:rsidR="008A42CF" w:rsidRPr="004061FA">
        <w:rPr>
          <w:rFonts w:cs="Times New Roman"/>
          <w:color w:val="000000"/>
          <w:sz w:val="28"/>
          <w:szCs w:val="28"/>
        </w:rPr>
        <w:t xml:space="preserve"> </w:t>
      </w:r>
      <w:r w:rsidR="00E54F5C">
        <w:rPr>
          <w:rFonts w:cs="Times New Roman"/>
          <w:color w:val="000000"/>
          <w:sz w:val="28"/>
          <w:szCs w:val="28"/>
        </w:rPr>
        <w:t xml:space="preserve"> việc </w:t>
      </w:r>
      <w:r w:rsidR="0022604D" w:rsidRPr="004061FA">
        <w:rPr>
          <w:rFonts w:cs="Times New Roman"/>
          <w:b/>
          <w:color w:val="000000"/>
          <w:sz w:val="28"/>
          <w:szCs w:val="28"/>
        </w:rPr>
        <w:t>“</w:t>
      </w:r>
      <w:r w:rsidR="00E54F5C">
        <w:rPr>
          <w:b/>
          <w:sz w:val="28"/>
          <w:szCs w:val="28"/>
        </w:rPr>
        <w:t>B</w:t>
      </w:r>
      <w:r w:rsidR="001647CB" w:rsidRPr="004061FA">
        <w:rPr>
          <w:b/>
          <w:sz w:val="28"/>
          <w:szCs w:val="28"/>
        </w:rPr>
        <w:t xml:space="preserve">an hành tiêu chuẩn, định mức sử dụng máy móc, thiết bị </w:t>
      </w:r>
      <w:r w:rsidR="00CF0338">
        <w:rPr>
          <w:b/>
          <w:sz w:val="28"/>
          <w:szCs w:val="28"/>
        </w:rPr>
        <w:t xml:space="preserve">chuyên dùng </w:t>
      </w:r>
      <w:r w:rsidR="001647CB" w:rsidRPr="004061FA">
        <w:rPr>
          <w:b/>
          <w:iCs/>
          <w:sz w:val="28"/>
          <w:szCs w:val="28"/>
        </w:rPr>
        <w:t xml:space="preserve">cho </w:t>
      </w:r>
      <w:r w:rsidR="00573951" w:rsidRPr="00573951">
        <w:rPr>
          <w:b/>
          <w:iCs/>
          <w:sz w:val="28"/>
          <w:szCs w:val="28"/>
        </w:rPr>
        <w:t>Trường Đại học Hồng Đức và Trường Đại học Văn hóa, Thể thao và Du lịch Thanh Hóa</w:t>
      </w:r>
      <w:r w:rsidR="0022604D" w:rsidRPr="004061FA">
        <w:rPr>
          <w:rFonts w:cs="Times New Roman"/>
          <w:b/>
          <w:color w:val="000000"/>
          <w:sz w:val="28"/>
          <w:szCs w:val="28"/>
        </w:rPr>
        <w:t>”</w:t>
      </w:r>
      <w:r w:rsidR="0022604D" w:rsidRPr="004061FA">
        <w:rPr>
          <w:rFonts w:cs="Times New Roman"/>
          <w:color w:val="000000"/>
          <w:sz w:val="28"/>
          <w:szCs w:val="28"/>
        </w:rPr>
        <w:t>, với các nội dung chủ yếu sau:</w:t>
      </w:r>
    </w:p>
    <w:p w:rsidR="00B96C25" w:rsidRPr="0070675E" w:rsidRDefault="00B96C25" w:rsidP="00B96C25">
      <w:pPr>
        <w:spacing w:after="0" w:line="264" w:lineRule="auto"/>
        <w:ind w:firstLine="720"/>
        <w:jc w:val="both"/>
        <w:rPr>
          <w:b/>
          <w:sz w:val="28"/>
          <w:szCs w:val="28"/>
          <w:lang w:val="nl-NL"/>
        </w:rPr>
      </w:pPr>
      <w:r w:rsidRPr="0070675E">
        <w:rPr>
          <w:b/>
          <w:sz w:val="28"/>
          <w:szCs w:val="28"/>
          <w:lang w:val="nl-NL"/>
        </w:rPr>
        <w:t xml:space="preserve">I. SỰ CẦN THIẾT BAN HÀNH </w:t>
      </w:r>
    </w:p>
    <w:p w:rsidR="00B96C25" w:rsidRDefault="00B96C25" w:rsidP="00B96C25">
      <w:pPr>
        <w:spacing w:after="0" w:line="264" w:lineRule="auto"/>
        <w:ind w:firstLine="720"/>
        <w:jc w:val="both"/>
        <w:rPr>
          <w:b/>
          <w:sz w:val="28"/>
          <w:szCs w:val="28"/>
        </w:rPr>
      </w:pPr>
      <w:r w:rsidRPr="0070675E">
        <w:rPr>
          <w:b/>
          <w:sz w:val="28"/>
          <w:szCs w:val="28"/>
        </w:rPr>
        <w:t xml:space="preserve">1. </w:t>
      </w:r>
      <w:r>
        <w:rPr>
          <w:b/>
          <w:sz w:val="28"/>
          <w:szCs w:val="28"/>
        </w:rPr>
        <w:t xml:space="preserve">Cơ sở </w:t>
      </w:r>
      <w:r w:rsidRPr="0070675E">
        <w:rPr>
          <w:b/>
          <w:sz w:val="28"/>
          <w:szCs w:val="28"/>
        </w:rPr>
        <w:t>pháp lý</w:t>
      </w:r>
    </w:p>
    <w:p w:rsidR="00B96C25" w:rsidRPr="0070675E" w:rsidRDefault="00B96C25" w:rsidP="00B96C25">
      <w:pPr>
        <w:spacing w:after="0" w:line="264" w:lineRule="auto"/>
        <w:ind w:firstLine="720"/>
        <w:jc w:val="both"/>
        <w:rPr>
          <w:i/>
          <w:sz w:val="28"/>
          <w:szCs w:val="28"/>
        </w:rPr>
      </w:pPr>
      <w:r>
        <w:rPr>
          <w:sz w:val="28"/>
          <w:szCs w:val="28"/>
        </w:rPr>
        <w:t xml:space="preserve">- </w:t>
      </w:r>
      <w:r w:rsidRPr="0070675E">
        <w:rPr>
          <w:sz w:val="28"/>
          <w:szCs w:val="28"/>
        </w:rPr>
        <w:t>Tại khoản 2 Điều 8 Quyết định số 50/2017/QĐ-TTg ngày 31/12/2017 của Thủ tướng Chính phủ quy định về tiêu chuẩn, định mức sử dụng máy móc, thiết bị quy định</w:t>
      </w:r>
      <w:r>
        <w:rPr>
          <w:sz w:val="28"/>
          <w:szCs w:val="28"/>
        </w:rPr>
        <w:t>:</w:t>
      </w:r>
      <w:r w:rsidRPr="0070675E">
        <w:rPr>
          <w:sz w:val="28"/>
          <w:szCs w:val="28"/>
        </w:rPr>
        <w:t xml:space="preserve"> “</w:t>
      </w:r>
      <w:r w:rsidRPr="0070675E">
        <w:rPr>
          <w:i/>
          <w:sz w:val="28"/>
          <w:szCs w:val="28"/>
        </w:rPr>
        <w:t>Căn cứ quy định chi tiết hướng dẫn của Bộ Y tế, Bộ Giáo dục và Đào tạo tại điểm a khoản này, bộ, cơ quan trung ương ban hành hoặc phân cấp thẩm quyền ban hành tiêu chuẩn, định mức sử dụng máy móc, thiết bị chuyên dùng thuộc lĩnh vực y tế, giáo dục và đào tạo cho các cơ quan, tổ chức, đơn vị thuộc phạm vi quản lý; Ủy ban nhân dân cấp tỉnh sau khi có ý kiến thống nhất bằng văn bản của Thường trực Hội đồng nhân dân cùng cấp, ban hành hoặc phân cấp thẩm quyền ban hành tiêu chuẩn, định mức sử dụng máy móc, thiết bị chuyên dùng thuộc lĩnh vực y tế, giáo dục và đào tạo cho các cơ quan, tổ chức, đơn vị thuộc phạm vi quản lý; …”.</w:t>
      </w:r>
    </w:p>
    <w:p w:rsidR="00B96C25" w:rsidRPr="004137E7" w:rsidRDefault="00B96C25" w:rsidP="00B96C25">
      <w:pPr>
        <w:spacing w:after="0" w:line="264" w:lineRule="auto"/>
        <w:ind w:firstLine="720"/>
        <w:jc w:val="both"/>
        <w:rPr>
          <w:i/>
          <w:sz w:val="28"/>
          <w:szCs w:val="28"/>
        </w:rPr>
      </w:pPr>
      <w:r>
        <w:rPr>
          <w:sz w:val="28"/>
          <w:szCs w:val="28"/>
        </w:rPr>
        <w:t xml:space="preserve">- </w:t>
      </w:r>
      <w:r w:rsidRPr="0070675E">
        <w:rPr>
          <w:sz w:val="28"/>
          <w:szCs w:val="28"/>
        </w:rPr>
        <w:t xml:space="preserve">Tại Khoản 2 Điều 6 Thông tư số 16/2019/TT-BGDĐT ngày 04/10/2019 của Bộ Giáo dục và Đào tạo hướng dân tiêu chuẩn, định mức sử dụng máy móc, thiết bị chuyên dùng thuộc lĩnh vực giáo dục và đào tạo: </w:t>
      </w:r>
      <w:r w:rsidRPr="0070675E">
        <w:rPr>
          <w:i/>
          <w:sz w:val="28"/>
          <w:szCs w:val="28"/>
        </w:rPr>
        <w:t>“2. Đối với các cơ sở đào tạo</w:t>
      </w:r>
      <w:r>
        <w:rPr>
          <w:i/>
          <w:sz w:val="28"/>
          <w:szCs w:val="28"/>
        </w:rPr>
        <w:t xml:space="preserve">: </w:t>
      </w:r>
      <w:r w:rsidRPr="0070675E">
        <w:rPr>
          <w:i/>
          <w:sz w:val="28"/>
          <w:szCs w:val="28"/>
        </w:rPr>
        <w:t>a) Căn cứ quy định tại Thông tư này, xây dựng tiêu chuẩn, định mức sử dụng thiết bị của đơn vị.</w:t>
      </w:r>
      <w:r>
        <w:rPr>
          <w:i/>
          <w:sz w:val="28"/>
          <w:szCs w:val="28"/>
        </w:rPr>
        <w:t xml:space="preserve"> </w:t>
      </w:r>
      <w:r w:rsidRPr="0070675E">
        <w:rPr>
          <w:i/>
          <w:sz w:val="28"/>
          <w:szCs w:val="28"/>
        </w:rPr>
        <w:t xml:space="preserve">b) Trình cơ quan có thẩm quyền ban hành hoặc phân </w:t>
      </w:r>
      <w:r w:rsidRPr="0070675E">
        <w:rPr>
          <w:i/>
          <w:sz w:val="28"/>
          <w:szCs w:val="28"/>
        </w:rPr>
        <w:lastRenderedPageBreak/>
        <w:t>cấp thẩm quyền ban hành tiêu chuẩn, định mức sử dụng thiết bị cho các cơ sở đào tạo.”</w:t>
      </w:r>
    </w:p>
    <w:p w:rsidR="00B96C25" w:rsidRPr="0070675E" w:rsidRDefault="00B96C25" w:rsidP="00B96C25">
      <w:pPr>
        <w:spacing w:after="0" w:line="264" w:lineRule="auto"/>
        <w:ind w:firstLine="720"/>
        <w:jc w:val="both"/>
        <w:rPr>
          <w:b/>
          <w:sz w:val="28"/>
          <w:szCs w:val="28"/>
        </w:rPr>
      </w:pPr>
      <w:r w:rsidRPr="0070675E">
        <w:rPr>
          <w:b/>
          <w:sz w:val="28"/>
          <w:szCs w:val="28"/>
        </w:rPr>
        <w:t>2. Cơ sở thực tế</w:t>
      </w:r>
    </w:p>
    <w:p w:rsidR="00B96C25" w:rsidRPr="0070675E" w:rsidRDefault="00B96C25" w:rsidP="00B96C25">
      <w:pPr>
        <w:pStyle w:val="NormalWeb"/>
        <w:shd w:val="clear" w:color="auto" w:fill="FFFFFF"/>
        <w:spacing w:before="0" w:beforeAutospacing="0" w:after="0" w:afterAutospacing="0" w:line="264" w:lineRule="auto"/>
        <w:ind w:firstLine="720"/>
        <w:jc w:val="both"/>
        <w:rPr>
          <w:color w:val="000000"/>
          <w:sz w:val="28"/>
          <w:szCs w:val="28"/>
          <w:lang w:val="vi-VN"/>
        </w:rPr>
      </w:pPr>
      <w:r w:rsidRPr="0070675E">
        <w:rPr>
          <w:sz w:val="28"/>
          <w:szCs w:val="28"/>
          <w:lang w:val="it-IT"/>
        </w:rPr>
        <w:t>Trong những năm qua, việc</w:t>
      </w:r>
      <w:r w:rsidRPr="0070675E">
        <w:rPr>
          <w:color w:val="000000"/>
          <w:sz w:val="28"/>
          <w:szCs w:val="28"/>
          <w:lang w:val="vi-VN"/>
        </w:rPr>
        <w:t xml:space="preserve"> </w:t>
      </w:r>
      <w:r w:rsidRPr="0070675E">
        <w:rPr>
          <w:color w:val="000000"/>
          <w:sz w:val="28"/>
          <w:szCs w:val="28"/>
        </w:rPr>
        <w:t>đầu tư mua sắm máy móc, trang thiết bị phục vụ cho các cơ sở đào tạo trên địa bàn tỉnh được thực hiện đầu tư, mua sắm từ nhiều nguồn khác nhau như: Nguồn ngân sách tỉnh; Ngân sách huyện; Nguồn tự chủ của các đơn vị; Nguồn xã hội hóa, … Việc mua sắm cơ bản dự</w:t>
      </w:r>
      <w:r>
        <w:rPr>
          <w:color w:val="000000"/>
          <w:sz w:val="28"/>
          <w:szCs w:val="28"/>
        </w:rPr>
        <w:t>a</w:t>
      </w:r>
      <w:r w:rsidRPr="0070675E">
        <w:rPr>
          <w:color w:val="000000"/>
          <w:sz w:val="28"/>
          <w:szCs w:val="28"/>
        </w:rPr>
        <w:t xml:space="preserve"> trên danh mục thiết bị tổi thiểu của Bộ Giáo dục, Bộ Lao động thương binh và xã hội và các Bộ, ngành có li</w:t>
      </w:r>
      <w:r>
        <w:rPr>
          <w:color w:val="000000"/>
          <w:sz w:val="28"/>
          <w:szCs w:val="28"/>
        </w:rPr>
        <w:t>ê</w:t>
      </w:r>
      <w:r w:rsidRPr="0070675E">
        <w:rPr>
          <w:color w:val="000000"/>
          <w:sz w:val="28"/>
          <w:szCs w:val="28"/>
        </w:rPr>
        <w:t xml:space="preserve">n quan và quy định về </w:t>
      </w:r>
      <w:r w:rsidRPr="0070675E">
        <w:rPr>
          <w:sz w:val="28"/>
          <w:szCs w:val="28"/>
        </w:rPr>
        <w:t xml:space="preserve">tiêu chuẩn, định mức sử dụng </w:t>
      </w:r>
      <w:r w:rsidRPr="0070675E">
        <w:rPr>
          <w:color w:val="000000"/>
          <w:sz w:val="28"/>
          <w:szCs w:val="28"/>
        </w:rPr>
        <w:t xml:space="preserve">máy móc, thiết bị sử dụng tại </w:t>
      </w:r>
      <w:r w:rsidRPr="0070675E">
        <w:rPr>
          <w:sz w:val="28"/>
          <w:szCs w:val="28"/>
        </w:rPr>
        <w:t>Quyết định số 50/2017/QĐ-TTg ngày 31/12/2017 của Thủ tướng Chính phủ.</w:t>
      </w:r>
    </w:p>
    <w:p w:rsidR="00B96C25" w:rsidRDefault="00B96C25" w:rsidP="00B96C25">
      <w:pPr>
        <w:pStyle w:val="NormalWeb"/>
        <w:shd w:val="clear" w:color="auto" w:fill="FFFFFF"/>
        <w:spacing w:before="0" w:beforeAutospacing="0" w:after="0" w:afterAutospacing="0" w:line="264" w:lineRule="auto"/>
        <w:ind w:firstLine="720"/>
        <w:jc w:val="both"/>
        <w:rPr>
          <w:color w:val="000000"/>
          <w:sz w:val="28"/>
          <w:szCs w:val="28"/>
        </w:rPr>
      </w:pPr>
      <w:r w:rsidRPr="0070675E">
        <w:rPr>
          <w:color w:val="000000"/>
          <w:sz w:val="28"/>
          <w:szCs w:val="28"/>
        </w:rPr>
        <w:t>Đối với m</w:t>
      </w:r>
      <w:r w:rsidRPr="0070675E">
        <w:rPr>
          <w:color w:val="000000"/>
          <w:sz w:val="28"/>
          <w:szCs w:val="28"/>
          <w:lang w:val="vi-VN"/>
        </w:rPr>
        <w:t xml:space="preserve">áy móc, thiết bị </w:t>
      </w:r>
      <w:r w:rsidRPr="0070675E">
        <w:rPr>
          <w:color w:val="000000"/>
          <w:sz w:val="28"/>
          <w:szCs w:val="28"/>
        </w:rPr>
        <w:t>trong các cơ sở đào tạo</w:t>
      </w:r>
      <w:r w:rsidRPr="0070675E">
        <w:rPr>
          <w:color w:val="000000"/>
          <w:sz w:val="28"/>
          <w:szCs w:val="28"/>
          <w:lang w:val="vi-VN"/>
        </w:rPr>
        <w:t xml:space="preserve"> </w:t>
      </w:r>
      <w:r w:rsidRPr="0070675E">
        <w:rPr>
          <w:color w:val="000000"/>
          <w:sz w:val="28"/>
          <w:szCs w:val="28"/>
        </w:rPr>
        <w:t xml:space="preserve">đã được </w:t>
      </w:r>
      <w:r w:rsidRPr="0070675E">
        <w:rPr>
          <w:color w:val="000000"/>
          <w:sz w:val="28"/>
          <w:szCs w:val="28"/>
          <w:lang w:val="vi-VN"/>
        </w:rPr>
        <w:t xml:space="preserve">quy định </w:t>
      </w:r>
      <w:r w:rsidRPr="0070675E">
        <w:rPr>
          <w:color w:val="000000"/>
          <w:sz w:val="28"/>
          <w:szCs w:val="28"/>
        </w:rPr>
        <w:t>cụ thể tại</w:t>
      </w:r>
      <w:r w:rsidRPr="0070675E">
        <w:rPr>
          <w:color w:val="000000"/>
          <w:sz w:val="28"/>
          <w:szCs w:val="28"/>
          <w:lang w:val="vi-VN"/>
        </w:rPr>
        <w:t xml:space="preserve"> Thông tư </w:t>
      </w:r>
      <w:r w:rsidRPr="0070675E">
        <w:rPr>
          <w:color w:val="000000"/>
          <w:sz w:val="28"/>
          <w:szCs w:val="28"/>
        </w:rPr>
        <w:t>16/2019/TT-BGDĐT của Bộ Giáo dục và Đào tạo; cụ thể là những thiết bị trong các phòng thí nghiệm, phòng thực hành; xưởng/trại/trạm thực tập, thực hành, thực nghiệm; Thiết bị trong các thư viện hoặc trung tâm thông tin – thư viện, dây chuyền công nghệ phục vụ cho đào tạo, nghiên cứu khoa học, chuyển giao công nghệ; Thiết bị phục vụ cho công tác thi và tuyển sinh, đánh giá, kiểm định chất lượng; Máy tính, phương tiện kết nối mạng máy tính, các phần mềm hỗ trợ cho giảng dạy, học tập và nghiên cứu khoa học; các thiết bị nghe nhìn, hệ thống bàn, ghế, tủ/giá, kệ được lắp đặt trong các phòng học, hội trường, phòng sinh hoạt chuyên môn, giảng đường, trạm y tế, phòng thí nghiệm, phòng thực hành; xưởng/trại/trạm thực tập, thực hành, thực nghiệm, thư viện hoặc trung tâm thông tin – thư viện; Hệ thống điều hòa, hút ẩm, bảo ôn, phòng cháy chữa cháy, xử lý nước, chất thải trong các phòng thí nghiệm, phòng thực hành, phòng nghiên cứu khoa học; xưởng/trại/trạm thực tập, thực hành, thực nghiệm; Thiết bị khác phục vụ cho hoạt động đào tạo, nghiên cứu khoa học, chuyển giao công nghệ và các nhiệm vụ đặc thù của cơ sở đào tạo.</w:t>
      </w:r>
    </w:p>
    <w:p w:rsidR="00B96C25" w:rsidRDefault="00B96C25" w:rsidP="00B96C25">
      <w:pPr>
        <w:spacing w:after="0" w:line="264" w:lineRule="auto"/>
        <w:ind w:firstLine="720"/>
        <w:jc w:val="both"/>
        <w:rPr>
          <w:sz w:val="28"/>
          <w:szCs w:val="28"/>
          <w:lang w:val="nb-NO"/>
        </w:rPr>
      </w:pPr>
      <w:r>
        <w:rPr>
          <w:sz w:val="28"/>
          <w:szCs w:val="28"/>
          <w:lang w:val="nb-NO"/>
        </w:rPr>
        <w:t xml:space="preserve">Do vậy, việc ban hành tiêu chuẩn, định mức máy móc thiết bị chuyên dùng đối với các cơ sở đào tạo làm cơ sở cho các cơ sở đào tạo thực hiện các hoạt động mua sắm tài sản, </w:t>
      </w:r>
      <w:r w:rsidRPr="0070675E">
        <w:rPr>
          <w:sz w:val="28"/>
          <w:szCs w:val="28"/>
        </w:rPr>
        <w:t>lập kế hoạch và dự toán ngân sách, giao, đầ</w:t>
      </w:r>
      <w:r>
        <w:rPr>
          <w:sz w:val="28"/>
          <w:szCs w:val="28"/>
        </w:rPr>
        <w:t>u tư,</w:t>
      </w:r>
      <w:r w:rsidRPr="0070675E">
        <w:rPr>
          <w:sz w:val="28"/>
          <w:szCs w:val="28"/>
        </w:rPr>
        <w:t xml:space="preserve"> thuê, khoán kinh phí sử dụng thiết bị; quản lý, sử dụng thiết bị một cách đồng bộ và có hiệu quả</w:t>
      </w:r>
      <w:r>
        <w:rPr>
          <w:sz w:val="28"/>
          <w:szCs w:val="28"/>
        </w:rPr>
        <w:t xml:space="preserve"> </w:t>
      </w:r>
      <w:r>
        <w:rPr>
          <w:sz w:val="28"/>
          <w:szCs w:val="28"/>
          <w:lang w:val="nb-NO"/>
        </w:rPr>
        <w:t>đảm bảo theo đúng quy định tại Luật Quản lý, sử dụng tài sản công và các quy định hiện hành.</w:t>
      </w:r>
    </w:p>
    <w:p w:rsidR="00B96C25" w:rsidRPr="0070675E" w:rsidRDefault="00B96C25" w:rsidP="00B96C25">
      <w:pPr>
        <w:spacing w:after="0" w:line="264" w:lineRule="auto"/>
        <w:ind w:firstLine="709"/>
        <w:jc w:val="both"/>
        <w:rPr>
          <w:rFonts w:eastAsia="Times New Roman"/>
          <w:b/>
          <w:sz w:val="28"/>
          <w:szCs w:val="28"/>
          <w:lang w:val="vi-VN"/>
        </w:rPr>
      </w:pPr>
      <w:r w:rsidRPr="0070675E">
        <w:rPr>
          <w:rFonts w:eastAsia="Times New Roman"/>
          <w:b/>
          <w:sz w:val="28"/>
          <w:szCs w:val="28"/>
          <w:lang w:val="vi-VN"/>
        </w:rPr>
        <w:t>II. MỤC ĐÍCH, QUAN ĐIỂM XÂY DỰNG QUYẾT ĐỊNH</w:t>
      </w:r>
    </w:p>
    <w:p w:rsidR="00B96C25" w:rsidRPr="0070675E" w:rsidRDefault="00B96C25" w:rsidP="00B96C25">
      <w:pPr>
        <w:widowControl w:val="0"/>
        <w:numPr>
          <w:ilvl w:val="0"/>
          <w:numId w:val="3"/>
        </w:numPr>
        <w:spacing w:after="0" w:line="264" w:lineRule="auto"/>
        <w:jc w:val="both"/>
        <w:rPr>
          <w:b/>
          <w:color w:val="000000"/>
          <w:sz w:val="28"/>
          <w:szCs w:val="28"/>
          <w:lang w:val="nb-NO"/>
        </w:rPr>
      </w:pPr>
      <w:r w:rsidRPr="0070675E">
        <w:rPr>
          <w:b/>
          <w:color w:val="000000"/>
          <w:sz w:val="28"/>
          <w:szCs w:val="28"/>
          <w:lang w:val="nb-NO"/>
        </w:rPr>
        <w:t>Mục đích</w:t>
      </w:r>
    </w:p>
    <w:p w:rsidR="00B96C25" w:rsidRPr="0070675E" w:rsidRDefault="00B96C25" w:rsidP="00B96C25">
      <w:pPr>
        <w:shd w:val="clear" w:color="auto" w:fill="FFFFFF"/>
        <w:spacing w:after="0" w:line="264" w:lineRule="auto"/>
        <w:ind w:firstLine="720"/>
        <w:jc w:val="both"/>
        <w:rPr>
          <w:rFonts w:eastAsia="SimSun"/>
          <w:color w:val="0000FF"/>
          <w:sz w:val="28"/>
          <w:szCs w:val="28"/>
          <w:lang w:val="nl-NL"/>
        </w:rPr>
      </w:pPr>
      <w:r w:rsidRPr="0070675E">
        <w:rPr>
          <w:rFonts w:eastAsia="SimSun"/>
          <w:sz w:val="28"/>
          <w:szCs w:val="28"/>
          <w:lang w:val="vi-VN"/>
        </w:rPr>
        <w:t xml:space="preserve">Quyết định của UBND tỉnh nhằm thực hiện quy định của </w:t>
      </w:r>
      <w:r w:rsidRPr="0070675E">
        <w:rPr>
          <w:rFonts w:eastAsia="SimSun"/>
          <w:sz w:val="28"/>
          <w:szCs w:val="28"/>
        </w:rPr>
        <w:t>Chính phủ</w:t>
      </w:r>
      <w:r w:rsidRPr="0070675E">
        <w:rPr>
          <w:rFonts w:eastAsia="SimSun"/>
          <w:color w:val="FF0000"/>
          <w:sz w:val="28"/>
          <w:szCs w:val="28"/>
        </w:rPr>
        <w:t xml:space="preserve"> </w:t>
      </w:r>
      <w:r w:rsidRPr="0070675E">
        <w:rPr>
          <w:rFonts w:eastAsia="SimSun"/>
          <w:sz w:val="28"/>
          <w:szCs w:val="28"/>
          <w:lang w:val="nl-NL"/>
        </w:rPr>
        <w:t xml:space="preserve">về việc </w:t>
      </w:r>
      <w:r w:rsidRPr="0070675E">
        <w:rPr>
          <w:iCs/>
          <w:sz w:val="28"/>
          <w:szCs w:val="28"/>
        </w:rPr>
        <w:t xml:space="preserve">ban hành tiêu chuẩn, định mức sử dụng thiết bị </w:t>
      </w:r>
      <w:r>
        <w:rPr>
          <w:iCs/>
          <w:sz w:val="28"/>
          <w:szCs w:val="28"/>
        </w:rPr>
        <w:t xml:space="preserve">chuyên dùng </w:t>
      </w:r>
      <w:r w:rsidRPr="0070675E">
        <w:rPr>
          <w:iCs/>
          <w:sz w:val="28"/>
          <w:szCs w:val="28"/>
        </w:rPr>
        <w:t>cho các cơ sở đào tạo</w:t>
      </w:r>
      <w:r w:rsidRPr="0070675E">
        <w:rPr>
          <w:rFonts w:eastAsia="SimSun"/>
          <w:sz w:val="28"/>
          <w:szCs w:val="28"/>
          <w:lang w:val="nl-NL"/>
        </w:rPr>
        <w:t xml:space="preserve">. </w:t>
      </w:r>
    </w:p>
    <w:p w:rsidR="00B96C25" w:rsidRDefault="00B96C25" w:rsidP="00B96C25">
      <w:pPr>
        <w:pStyle w:val="ListParagraph"/>
        <w:widowControl w:val="0"/>
        <w:numPr>
          <w:ilvl w:val="0"/>
          <w:numId w:val="3"/>
        </w:numPr>
        <w:spacing w:after="0" w:line="264" w:lineRule="auto"/>
        <w:jc w:val="both"/>
        <w:rPr>
          <w:b/>
          <w:color w:val="000000"/>
          <w:sz w:val="28"/>
          <w:szCs w:val="28"/>
          <w:lang w:val="nb-NO"/>
        </w:rPr>
      </w:pPr>
      <w:r w:rsidRPr="008726CA">
        <w:rPr>
          <w:b/>
          <w:color w:val="000000"/>
          <w:sz w:val="28"/>
          <w:szCs w:val="28"/>
          <w:lang w:val="nb-NO"/>
        </w:rPr>
        <w:t>Quan điểm xây dựng dự thảo Quyết định</w:t>
      </w:r>
    </w:p>
    <w:p w:rsidR="00D65B95" w:rsidRDefault="00D65B95" w:rsidP="00D65B95">
      <w:pPr>
        <w:widowControl w:val="0"/>
        <w:spacing w:before="60" w:after="60" w:line="264" w:lineRule="auto"/>
        <w:ind w:firstLine="720"/>
        <w:jc w:val="both"/>
        <w:rPr>
          <w:color w:val="000000"/>
          <w:sz w:val="28"/>
          <w:szCs w:val="28"/>
          <w:lang w:val="nb-NO"/>
        </w:rPr>
      </w:pPr>
      <w:r w:rsidRPr="008726CA">
        <w:rPr>
          <w:color w:val="000000"/>
          <w:sz w:val="28"/>
          <w:szCs w:val="28"/>
          <w:lang w:val="nb-NO"/>
        </w:rPr>
        <w:t xml:space="preserve">- Phù hợp với Luật Quản lý, sử dụng tài sản công; Nghị định số 151/2017/NĐ-CP </w:t>
      </w:r>
      <w:r>
        <w:rPr>
          <w:color w:val="000000"/>
          <w:sz w:val="28"/>
          <w:szCs w:val="28"/>
          <w:lang w:val="nb-NO"/>
        </w:rPr>
        <w:t xml:space="preserve">ngày 26/12/2017 của Chính phủ quy định chi tiết một số điều </w:t>
      </w:r>
      <w:r>
        <w:rPr>
          <w:color w:val="000000"/>
          <w:sz w:val="28"/>
          <w:szCs w:val="28"/>
          <w:lang w:val="nb-NO"/>
        </w:rPr>
        <w:lastRenderedPageBreak/>
        <w:t>của Luật Quản lý, sử dụng tài sản công; Quyết định số 50/2017/QĐ-TTg ngày 31/12/2017 của Thủ tướng Chính phủ quy định về tiêu chuẩn, định mức sử dụng máy móc, thiết bị; Thông tư số 16/2019/TT-BGDĐT ngày 04/10/2019 của Bộ Giáo dục và Đào tạo hướng dẫn tiêu chuẩn, định mức sử dụng máy móc, thiết bị chuyên dùng thuộc lĩnh vực giáo dục và đào tạo;</w:t>
      </w:r>
    </w:p>
    <w:p w:rsidR="00B96C25" w:rsidRDefault="00D65B95" w:rsidP="00D65B95">
      <w:pPr>
        <w:widowControl w:val="0"/>
        <w:spacing w:after="0" w:line="264" w:lineRule="auto"/>
        <w:ind w:firstLine="720"/>
        <w:jc w:val="both"/>
        <w:rPr>
          <w:color w:val="000000"/>
          <w:sz w:val="28"/>
          <w:szCs w:val="28"/>
          <w:lang w:val="nb-NO"/>
        </w:rPr>
      </w:pPr>
      <w:r>
        <w:rPr>
          <w:color w:val="000000"/>
          <w:sz w:val="28"/>
          <w:szCs w:val="28"/>
          <w:lang w:val="nb-NO"/>
        </w:rPr>
        <w:t xml:space="preserve">- Phù hợp với đặc điểm, hoạt động của các đơn vị, yêu cầu thực hiện </w:t>
      </w:r>
      <w:r>
        <w:rPr>
          <w:sz w:val="28"/>
          <w:szCs w:val="28"/>
          <w:lang w:val="nb-NO"/>
        </w:rPr>
        <w:t xml:space="preserve">mua sắm tài sản, </w:t>
      </w:r>
      <w:r w:rsidRPr="0070675E">
        <w:rPr>
          <w:sz w:val="28"/>
          <w:szCs w:val="28"/>
        </w:rPr>
        <w:t>lập kế hoạch và dự toán ngân sách, giao, đầ</w:t>
      </w:r>
      <w:r>
        <w:rPr>
          <w:sz w:val="28"/>
          <w:szCs w:val="28"/>
        </w:rPr>
        <w:t>u tư,</w:t>
      </w:r>
      <w:r w:rsidRPr="0070675E">
        <w:rPr>
          <w:sz w:val="28"/>
          <w:szCs w:val="28"/>
        </w:rPr>
        <w:t xml:space="preserve"> thuê, khoán kinh phí sử dụng thiết bị; quản lý, sử dụng thiết bị một cách đồng bộ và có hiệu quả</w:t>
      </w:r>
      <w:r>
        <w:rPr>
          <w:sz w:val="28"/>
          <w:szCs w:val="28"/>
        </w:rPr>
        <w:t>.</w:t>
      </w:r>
    </w:p>
    <w:p w:rsidR="00B96C25" w:rsidRPr="00AC68C7" w:rsidRDefault="00B96C25" w:rsidP="00B96C25">
      <w:pPr>
        <w:widowControl w:val="0"/>
        <w:spacing w:after="0" w:line="264" w:lineRule="auto"/>
        <w:ind w:firstLine="720"/>
        <w:jc w:val="both"/>
        <w:rPr>
          <w:b/>
          <w:color w:val="000000"/>
          <w:sz w:val="28"/>
          <w:szCs w:val="28"/>
          <w:lang w:val="nb-NO"/>
        </w:rPr>
      </w:pPr>
      <w:r w:rsidRPr="00AC68C7">
        <w:rPr>
          <w:b/>
          <w:color w:val="000000"/>
          <w:sz w:val="28"/>
          <w:szCs w:val="28"/>
          <w:lang w:val="nb-NO"/>
        </w:rPr>
        <w:t>III. THẨM QUYỀN BAN HÀNH:</w:t>
      </w:r>
    </w:p>
    <w:p w:rsidR="00B96C25" w:rsidRDefault="00B96C25" w:rsidP="00B96C25">
      <w:pPr>
        <w:widowControl w:val="0"/>
        <w:spacing w:after="0" w:line="264" w:lineRule="auto"/>
        <w:ind w:firstLine="720"/>
        <w:jc w:val="both"/>
        <w:rPr>
          <w:i/>
          <w:color w:val="000000"/>
          <w:sz w:val="28"/>
          <w:szCs w:val="28"/>
          <w:lang w:val="nb-NO"/>
        </w:rPr>
      </w:pPr>
      <w:r>
        <w:rPr>
          <w:color w:val="000000"/>
          <w:sz w:val="28"/>
          <w:szCs w:val="28"/>
          <w:lang w:val="nb-NO"/>
        </w:rPr>
        <w:t xml:space="preserve">- Theo quy định tại khoản 5 Điều 26 Luật Quản lý, sử dụng tài sản công: </w:t>
      </w:r>
      <w:r w:rsidRPr="00E515CD">
        <w:rPr>
          <w:i/>
          <w:color w:val="000000"/>
          <w:sz w:val="28"/>
          <w:szCs w:val="28"/>
          <w:lang w:val="nb-NO"/>
        </w:rPr>
        <w:t xml:space="preserve">“..., sau khi có ý kiến thống nhất của Thường trực Hội đồng nhân dân cùng cấp, </w:t>
      </w:r>
      <w:r w:rsidRPr="00E515CD">
        <w:rPr>
          <w:i/>
          <w:color w:val="000000"/>
          <w:sz w:val="28"/>
          <w:szCs w:val="28"/>
          <w:u w:val="single"/>
          <w:lang w:val="nb-NO"/>
        </w:rPr>
        <w:t>Ủy ban nhân dân cấp tỉnh quyết định hoặc phân cấp thẩm quyền quyết định</w:t>
      </w:r>
      <w:r w:rsidRPr="00E515CD">
        <w:rPr>
          <w:i/>
          <w:color w:val="000000"/>
          <w:sz w:val="28"/>
          <w:szCs w:val="28"/>
          <w:lang w:val="nb-NO"/>
        </w:rPr>
        <w:t xml:space="preserve"> áp dụng tiêu chuẩn, định mức sử dụng tài sản chuyên dùng tại cơ quan, tổ chức, đơn vị thuộc phạm vi quản lý,..”</w:t>
      </w:r>
      <w:r>
        <w:rPr>
          <w:i/>
          <w:color w:val="000000"/>
          <w:sz w:val="28"/>
          <w:szCs w:val="28"/>
          <w:lang w:val="nb-NO"/>
        </w:rPr>
        <w:t>.</w:t>
      </w:r>
    </w:p>
    <w:p w:rsidR="00B96C25" w:rsidRPr="0070675E" w:rsidRDefault="00B96C25" w:rsidP="00B96C25">
      <w:pPr>
        <w:spacing w:after="0" w:line="264" w:lineRule="auto"/>
        <w:ind w:firstLine="720"/>
        <w:jc w:val="both"/>
        <w:rPr>
          <w:i/>
          <w:sz w:val="28"/>
          <w:szCs w:val="28"/>
        </w:rPr>
      </w:pPr>
      <w:r>
        <w:rPr>
          <w:color w:val="000000"/>
          <w:sz w:val="28"/>
          <w:szCs w:val="28"/>
          <w:lang w:val="nb-NO"/>
        </w:rPr>
        <w:t xml:space="preserve">- Theo quy định tại </w:t>
      </w:r>
      <w:r w:rsidRPr="0070675E">
        <w:rPr>
          <w:sz w:val="28"/>
          <w:szCs w:val="28"/>
        </w:rPr>
        <w:t>khoản 2 Điều 8 Quyết định số 50/2017/QĐ-TTg ngày 31/12/2017 của Thủ tướng Chính phủ</w:t>
      </w:r>
      <w:r>
        <w:rPr>
          <w:sz w:val="28"/>
          <w:szCs w:val="28"/>
        </w:rPr>
        <w:t xml:space="preserve">: </w:t>
      </w:r>
      <w:r w:rsidRPr="0070675E">
        <w:rPr>
          <w:sz w:val="28"/>
          <w:szCs w:val="28"/>
        </w:rPr>
        <w:t>“</w:t>
      </w:r>
      <w:r w:rsidRPr="0070675E">
        <w:rPr>
          <w:i/>
          <w:sz w:val="28"/>
          <w:szCs w:val="28"/>
        </w:rPr>
        <w:t xml:space="preserve">Căn cứ quy định chi tiết hướng dẫn của Bộ Y tế, Bộ Giáo dục và Đào tạo tại điểm a khoản này, </w:t>
      </w:r>
      <w:r>
        <w:rPr>
          <w:i/>
          <w:sz w:val="28"/>
          <w:szCs w:val="28"/>
        </w:rPr>
        <w:t>…</w:t>
      </w:r>
      <w:r w:rsidRPr="0070675E">
        <w:rPr>
          <w:i/>
          <w:sz w:val="28"/>
          <w:szCs w:val="28"/>
        </w:rPr>
        <w:t xml:space="preserve">; </w:t>
      </w:r>
      <w:r w:rsidRPr="00E515CD">
        <w:rPr>
          <w:i/>
          <w:sz w:val="28"/>
          <w:szCs w:val="28"/>
          <w:u w:val="single"/>
        </w:rPr>
        <w:t>Ủy ban nhân dân cấp tỉnh</w:t>
      </w:r>
      <w:r w:rsidRPr="0070675E">
        <w:rPr>
          <w:i/>
          <w:sz w:val="28"/>
          <w:szCs w:val="28"/>
        </w:rPr>
        <w:t xml:space="preserve"> sau khi có ý kiến thống nhất bằng văn bản của Thường trực Hội đồng nhân dân cùng cấp, </w:t>
      </w:r>
      <w:r w:rsidRPr="00E515CD">
        <w:rPr>
          <w:i/>
          <w:sz w:val="28"/>
          <w:szCs w:val="28"/>
          <w:u w:val="single"/>
        </w:rPr>
        <w:t>ban hành hoặc phân cấp thẩm quyền ban hành</w:t>
      </w:r>
      <w:r w:rsidRPr="0070675E">
        <w:rPr>
          <w:i/>
          <w:sz w:val="28"/>
          <w:szCs w:val="28"/>
        </w:rPr>
        <w:t xml:space="preserve"> tiêu chuẩn, định mức sử dụng máy móc, thiết bị chuyên dùng thuộc lĩnh vực y tế, giáo dục và đào tạo cho các cơ quan, tổ chức, đơn vị thuộc phạm vi quản lý; …”.</w:t>
      </w:r>
    </w:p>
    <w:p w:rsidR="00B96C25" w:rsidRPr="00E515CD" w:rsidRDefault="00B96C25" w:rsidP="00B96C25">
      <w:pPr>
        <w:widowControl w:val="0"/>
        <w:spacing w:after="0" w:line="264" w:lineRule="auto"/>
        <w:ind w:firstLine="720"/>
        <w:jc w:val="both"/>
        <w:rPr>
          <w:color w:val="000000"/>
          <w:sz w:val="28"/>
          <w:szCs w:val="28"/>
          <w:lang w:val="nb-NO"/>
        </w:rPr>
      </w:pPr>
      <w:r>
        <w:rPr>
          <w:sz w:val="28"/>
          <w:szCs w:val="28"/>
        </w:rPr>
        <w:t xml:space="preserve">- Theo quy định tại </w:t>
      </w:r>
      <w:r w:rsidRPr="0070675E">
        <w:rPr>
          <w:sz w:val="28"/>
          <w:szCs w:val="28"/>
        </w:rPr>
        <w:t>Khoản 2 Điều 6 Thông tư số 16/2019/TT-BGDĐT ngày 04/10/2019 của Bộ Giáo dục và Đào tạ</w:t>
      </w:r>
      <w:r>
        <w:rPr>
          <w:sz w:val="28"/>
          <w:szCs w:val="28"/>
        </w:rPr>
        <w:t>o</w:t>
      </w:r>
      <w:r w:rsidRPr="0070675E">
        <w:rPr>
          <w:sz w:val="28"/>
          <w:szCs w:val="28"/>
        </w:rPr>
        <w:t xml:space="preserve">: </w:t>
      </w:r>
      <w:r w:rsidRPr="0070675E">
        <w:rPr>
          <w:i/>
          <w:sz w:val="28"/>
          <w:szCs w:val="28"/>
        </w:rPr>
        <w:t>“2. Đối với các cơ sở đào tạo</w:t>
      </w:r>
      <w:r>
        <w:rPr>
          <w:i/>
          <w:sz w:val="28"/>
          <w:szCs w:val="28"/>
        </w:rPr>
        <w:t xml:space="preserve">: </w:t>
      </w:r>
      <w:r w:rsidRPr="0070675E">
        <w:rPr>
          <w:i/>
          <w:sz w:val="28"/>
          <w:szCs w:val="28"/>
        </w:rPr>
        <w:t>a) Căn cứ quy định tại Thông tư này, xây dựng tiêu chuẩn, định mức sử dụng thiết bị của đơn vị.</w:t>
      </w:r>
      <w:r>
        <w:rPr>
          <w:i/>
          <w:sz w:val="28"/>
          <w:szCs w:val="28"/>
        </w:rPr>
        <w:t xml:space="preserve"> </w:t>
      </w:r>
      <w:r w:rsidRPr="0070675E">
        <w:rPr>
          <w:i/>
          <w:sz w:val="28"/>
          <w:szCs w:val="28"/>
        </w:rPr>
        <w:t xml:space="preserve">b) </w:t>
      </w:r>
      <w:r w:rsidRPr="00E515CD">
        <w:rPr>
          <w:i/>
          <w:sz w:val="28"/>
          <w:szCs w:val="28"/>
          <w:u w:val="single"/>
        </w:rPr>
        <w:t>Trình cơ quan có thẩm quyền ban hành hoặc phân cấp thẩm quyền ban hành</w:t>
      </w:r>
      <w:r w:rsidRPr="0070675E">
        <w:rPr>
          <w:i/>
          <w:sz w:val="28"/>
          <w:szCs w:val="28"/>
        </w:rPr>
        <w:t xml:space="preserve"> tiêu chuẩn, định mức sử dụng thiết bị cho các cơ sở đào tạo.”</w:t>
      </w:r>
    </w:p>
    <w:p w:rsidR="00B96C25" w:rsidRDefault="00B96C25" w:rsidP="00B96C25">
      <w:pPr>
        <w:spacing w:after="0" w:line="252" w:lineRule="auto"/>
        <w:ind w:firstLine="720"/>
        <w:jc w:val="both"/>
        <w:rPr>
          <w:iCs/>
          <w:sz w:val="28"/>
          <w:szCs w:val="28"/>
        </w:rPr>
      </w:pPr>
      <w:proofErr w:type="gramStart"/>
      <w:r>
        <w:rPr>
          <w:iCs/>
          <w:sz w:val="28"/>
          <w:szCs w:val="28"/>
        </w:rPr>
        <w:t>Vì vậy, thẩm quyền ban hành hoặc phân cấp thẩm quyền ban hành tiêu chuẩn, định mức sử dụng máy móc, thiết bị chuyên dùng thuộc lĩnh vực đào tạo thuộc UBND tỉnh sau khi có ý kiến thống nhất của Thường trực Hội đồng nhân dân tỉnh.</w:t>
      </w:r>
      <w:proofErr w:type="gramEnd"/>
    </w:p>
    <w:p w:rsidR="00B96C25" w:rsidRDefault="00B96C25" w:rsidP="00B96C25">
      <w:pPr>
        <w:spacing w:after="0" w:line="252" w:lineRule="auto"/>
        <w:ind w:firstLine="720"/>
        <w:jc w:val="both"/>
        <w:rPr>
          <w:iCs/>
          <w:sz w:val="28"/>
          <w:szCs w:val="28"/>
        </w:rPr>
      </w:pPr>
      <w:r w:rsidRPr="004061FA">
        <w:rPr>
          <w:bCs/>
          <w:spacing w:val="-2"/>
          <w:sz w:val="28"/>
          <w:szCs w:val="28"/>
          <w:lang w:val="nb-NO"/>
        </w:rPr>
        <w:t xml:space="preserve">Do vậy, việc UBND tỉnh ban hành </w:t>
      </w:r>
      <w:r w:rsidRPr="004061FA">
        <w:rPr>
          <w:spacing w:val="-2"/>
          <w:sz w:val="28"/>
          <w:szCs w:val="28"/>
        </w:rPr>
        <w:t xml:space="preserve">“Quyết định ban hành tiêu chuẩn, định mức sử dụng máy móc, thiết bị </w:t>
      </w:r>
      <w:r>
        <w:rPr>
          <w:spacing w:val="-2"/>
          <w:sz w:val="28"/>
          <w:szCs w:val="28"/>
        </w:rPr>
        <w:t xml:space="preserve">chuyên dùng </w:t>
      </w:r>
      <w:r w:rsidRPr="004061FA">
        <w:rPr>
          <w:spacing w:val="-2"/>
          <w:sz w:val="28"/>
          <w:szCs w:val="28"/>
        </w:rPr>
        <w:t xml:space="preserve">cho </w:t>
      </w:r>
      <w:r w:rsidRPr="00573951">
        <w:rPr>
          <w:iCs/>
          <w:sz w:val="28"/>
          <w:szCs w:val="28"/>
        </w:rPr>
        <w:t>Trường Đại học Hồng Đức và Trường Đại học Văn hóa, Thể thao và Du lịch</w:t>
      </w:r>
      <w:r w:rsidRPr="004061FA">
        <w:rPr>
          <w:spacing w:val="-2"/>
          <w:sz w:val="28"/>
          <w:szCs w:val="28"/>
        </w:rPr>
        <w:t>”</w:t>
      </w:r>
      <w:r w:rsidRPr="004061FA">
        <w:rPr>
          <w:color w:val="000000"/>
          <w:spacing w:val="-2"/>
          <w:sz w:val="28"/>
          <w:szCs w:val="28"/>
        </w:rPr>
        <w:t xml:space="preserve"> là cần thiết, đúng thẩm quyền và phù hợp với quy định tại khoản 2 Điều 8 </w:t>
      </w:r>
      <w:r w:rsidRPr="004061FA">
        <w:rPr>
          <w:spacing w:val="-2"/>
          <w:sz w:val="28"/>
          <w:szCs w:val="28"/>
        </w:rPr>
        <w:t>Quyết định số 50/2017/QĐ-TTg</w:t>
      </w:r>
      <w:r w:rsidRPr="004061FA">
        <w:rPr>
          <w:color w:val="000000"/>
          <w:spacing w:val="-2"/>
          <w:sz w:val="28"/>
          <w:szCs w:val="28"/>
        </w:rPr>
        <w:t xml:space="preserve"> và </w:t>
      </w:r>
      <w:r w:rsidRPr="004061FA">
        <w:rPr>
          <w:spacing w:val="-2"/>
          <w:sz w:val="28"/>
          <w:szCs w:val="28"/>
        </w:rPr>
        <w:t xml:space="preserve">Khoản 2 Điều 6 Thông tư số 16/2019/TT-BGDĐT. </w:t>
      </w:r>
      <w:r w:rsidRPr="004061FA">
        <w:rPr>
          <w:sz w:val="28"/>
          <w:szCs w:val="28"/>
          <w:lang w:val="nb-NO"/>
        </w:rPr>
        <w:t xml:space="preserve"> Đồng thời </w:t>
      </w:r>
      <w:r w:rsidRPr="004061FA">
        <w:rPr>
          <w:sz w:val="28"/>
          <w:szCs w:val="28"/>
        </w:rPr>
        <w:t>làm căn cứ để các cơ sở đào tạo lập kế hoạch và dự toán ngân sách, giao, đầu tư, mua sắm, thuê, khoán kinh phí sử dụng thiết bị; quản lý, sử dụng thiết bị một cách đồng bộ và có hiệu quả.</w:t>
      </w:r>
      <w:r>
        <w:rPr>
          <w:bCs/>
        </w:rPr>
        <w:t xml:space="preserve"> </w:t>
      </w:r>
    </w:p>
    <w:p w:rsidR="00D65B95" w:rsidRDefault="00D65B95" w:rsidP="00D65B95">
      <w:pPr>
        <w:widowControl w:val="0"/>
        <w:spacing w:before="60" w:after="60" w:line="264" w:lineRule="auto"/>
        <w:ind w:firstLine="720"/>
        <w:jc w:val="both"/>
        <w:rPr>
          <w:b/>
          <w:iCs/>
          <w:sz w:val="28"/>
          <w:szCs w:val="28"/>
        </w:rPr>
      </w:pPr>
      <w:r w:rsidRPr="00E515CD">
        <w:rPr>
          <w:b/>
          <w:iCs/>
          <w:sz w:val="28"/>
          <w:szCs w:val="28"/>
        </w:rPr>
        <w:t>IV. PHẠM VI ĐIỀU CHỈNH</w:t>
      </w:r>
      <w:r>
        <w:rPr>
          <w:b/>
          <w:iCs/>
          <w:sz w:val="28"/>
          <w:szCs w:val="28"/>
        </w:rPr>
        <w:t xml:space="preserve"> VÀ</w:t>
      </w:r>
      <w:r w:rsidRPr="00E515CD">
        <w:rPr>
          <w:b/>
          <w:iCs/>
          <w:sz w:val="28"/>
          <w:szCs w:val="28"/>
        </w:rPr>
        <w:t xml:space="preserve"> ĐỐI TƯỢNG ÁP DỤNG:</w:t>
      </w:r>
    </w:p>
    <w:p w:rsidR="00B96C25" w:rsidRDefault="00D65B95" w:rsidP="00D65B95">
      <w:pPr>
        <w:spacing w:after="0" w:line="264" w:lineRule="auto"/>
        <w:ind w:firstLine="720"/>
        <w:jc w:val="both"/>
        <w:rPr>
          <w:iCs/>
          <w:sz w:val="28"/>
          <w:szCs w:val="28"/>
        </w:rPr>
      </w:pPr>
      <w:r w:rsidRPr="00A1049F">
        <w:rPr>
          <w:iCs/>
          <w:sz w:val="28"/>
          <w:szCs w:val="28"/>
        </w:rPr>
        <w:t xml:space="preserve">Theo quy định tại điểm b khoản 3 Điều 1 Thông tư số 16/2019/TT-BGD ĐT của Bộ Giáo dục và Đào tạo: </w:t>
      </w:r>
      <w:r w:rsidRPr="003C7573">
        <w:rPr>
          <w:bCs/>
          <w:sz w:val="28"/>
          <w:szCs w:val="28"/>
        </w:rPr>
        <w:t xml:space="preserve">Quyết định này quy định về tiêu chuẩn, định </w:t>
      </w:r>
      <w:r w:rsidRPr="003C7573">
        <w:rPr>
          <w:bCs/>
          <w:sz w:val="28"/>
          <w:szCs w:val="28"/>
        </w:rPr>
        <w:lastRenderedPageBreak/>
        <w:t xml:space="preserve">mức sử dụng máy móc, thiết bị chuyên dùng đối với </w:t>
      </w:r>
      <w:r w:rsidRPr="00E515CD">
        <w:rPr>
          <w:iCs/>
          <w:sz w:val="28"/>
          <w:szCs w:val="28"/>
        </w:rPr>
        <w:t>Trường Đại học Hồng Đức và Trường Đại học Văn hóa, Thể thao và Du lịch.</w:t>
      </w:r>
    </w:p>
    <w:p w:rsidR="0004127B" w:rsidRPr="004061FA" w:rsidRDefault="00B96C25" w:rsidP="00573951">
      <w:pPr>
        <w:spacing w:after="0" w:line="252" w:lineRule="auto"/>
        <w:ind w:firstLine="720"/>
        <w:jc w:val="both"/>
        <w:rPr>
          <w:b/>
          <w:sz w:val="28"/>
          <w:szCs w:val="28"/>
        </w:rPr>
      </w:pPr>
      <w:r>
        <w:rPr>
          <w:b/>
          <w:sz w:val="28"/>
          <w:szCs w:val="28"/>
        </w:rPr>
        <w:t>V</w:t>
      </w:r>
      <w:r w:rsidR="0004127B" w:rsidRPr="004061FA">
        <w:rPr>
          <w:b/>
          <w:sz w:val="28"/>
          <w:szCs w:val="28"/>
        </w:rPr>
        <w:t xml:space="preserve">. </w:t>
      </w:r>
      <w:r w:rsidR="00E70BA2">
        <w:rPr>
          <w:b/>
          <w:sz w:val="28"/>
          <w:szCs w:val="28"/>
        </w:rPr>
        <w:t>NỘI DUNG ĐỀ NGHỊ BAN HÀNH</w:t>
      </w:r>
    </w:p>
    <w:p w:rsidR="00E621EE" w:rsidRPr="004061FA" w:rsidRDefault="001647CB" w:rsidP="00573951">
      <w:pPr>
        <w:spacing w:after="0" w:line="252" w:lineRule="auto"/>
        <w:ind w:firstLine="720"/>
        <w:jc w:val="both"/>
        <w:rPr>
          <w:sz w:val="28"/>
          <w:szCs w:val="28"/>
        </w:rPr>
      </w:pPr>
      <w:r w:rsidRPr="004061FA">
        <w:rPr>
          <w:sz w:val="28"/>
          <w:szCs w:val="28"/>
        </w:rPr>
        <w:t xml:space="preserve">Căn cứ quy định tại khoản 2 </w:t>
      </w:r>
      <w:r w:rsidRPr="004061FA">
        <w:rPr>
          <w:color w:val="000000"/>
          <w:spacing w:val="-2"/>
          <w:sz w:val="28"/>
          <w:szCs w:val="28"/>
        </w:rPr>
        <w:t xml:space="preserve">Điều 8 </w:t>
      </w:r>
      <w:r w:rsidRPr="004061FA">
        <w:rPr>
          <w:spacing w:val="-2"/>
          <w:sz w:val="28"/>
          <w:szCs w:val="28"/>
        </w:rPr>
        <w:t>Quyết định số 50/2017/QĐ-TTg</w:t>
      </w:r>
      <w:r w:rsidRPr="004061FA">
        <w:rPr>
          <w:color w:val="000000"/>
          <w:spacing w:val="-2"/>
          <w:sz w:val="28"/>
          <w:szCs w:val="28"/>
        </w:rPr>
        <w:t xml:space="preserve"> ngày 31/12/2017 của Thủ tướng Chính phủ và </w:t>
      </w:r>
      <w:r w:rsidRPr="004061FA">
        <w:rPr>
          <w:spacing w:val="-2"/>
          <w:sz w:val="28"/>
          <w:szCs w:val="28"/>
        </w:rPr>
        <w:t>Khoản 2 Điều 6 Thông tư số 16/2019/TT-BGDĐT ngày 04/10/2019 của Bộ trưởng Bộ Giáo dục và đào tạo; trên cơ sở đề nghị của Sở Tài chính tại Tờ trình số      /TTr-STC ngày       /12/2023; ý kiến thẩm định của Sở T</w:t>
      </w:r>
      <w:r w:rsidR="00F20014">
        <w:rPr>
          <w:spacing w:val="-2"/>
          <w:sz w:val="28"/>
          <w:szCs w:val="28"/>
        </w:rPr>
        <w:t>ư</w:t>
      </w:r>
      <w:r w:rsidRPr="004061FA">
        <w:rPr>
          <w:spacing w:val="-2"/>
          <w:sz w:val="28"/>
          <w:szCs w:val="28"/>
        </w:rPr>
        <w:t xml:space="preserve"> pháp đối với dự thảo Quyết định của UBND tỉnh tại Báo cáo thẩm định số            /BCTĐ-STP ngày      /12/2023, UBND tỉnh kính trình Thường trực HĐND tỉnh xem xét, chấp thuận để UBND tỉnh ban hành </w:t>
      </w:r>
      <w:r w:rsidR="004061FA" w:rsidRPr="004061FA">
        <w:rPr>
          <w:iCs/>
          <w:sz w:val="28"/>
          <w:szCs w:val="28"/>
        </w:rPr>
        <w:t xml:space="preserve">tiêu chuẩn, định mức sử dụng máy móc, thiết bị chuyên dùng cho </w:t>
      </w:r>
      <w:r w:rsidR="00573951" w:rsidRPr="00573951">
        <w:rPr>
          <w:iCs/>
          <w:sz w:val="28"/>
          <w:szCs w:val="28"/>
        </w:rPr>
        <w:t>Trường Đại học Hồng Đức và Trường Đại học Văn hóa, Thể thao và Du lịch</w:t>
      </w:r>
      <w:r w:rsidR="004061FA" w:rsidRPr="004061FA">
        <w:rPr>
          <w:iCs/>
          <w:sz w:val="28"/>
          <w:szCs w:val="28"/>
        </w:rPr>
        <w:t>.</w:t>
      </w:r>
    </w:p>
    <w:p w:rsidR="00E621EE" w:rsidRDefault="004061FA" w:rsidP="00573951">
      <w:pPr>
        <w:spacing w:after="0" w:line="252" w:lineRule="auto"/>
        <w:ind w:firstLine="720"/>
        <w:jc w:val="both"/>
        <w:rPr>
          <w:sz w:val="28"/>
          <w:szCs w:val="28"/>
        </w:rPr>
      </w:pPr>
      <w:r w:rsidRPr="004061FA">
        <w:rPr>
          <w:sz w:val="28"/>
          <w:szCs w:val="28"/>
        </w:rPr>
        <w:t>K</w:t>
      </w:r>
      <w:r w:rsidR="007108A6" w:rsidRPr="004061FA">
        <w:rPr>
          <w:sz w:val="28"/>
          <w:szCs w:val="28"/>
        </w:rPr>
        <w:t xml:space="preserve">ính trình </w:t>
      </w:r>
      <w:r w:rsidR="00583CCB" w:rsidRPr="004061FA">
        <w:rPr>
          <w:sz w:val="28"/>
          <w:szCs w:val="28"/>
        </w:rPr>
        <w:t xml:space="preserve">Thường trực Hội đồng nhân dân tỉnh </w:t>
      </w:r>
      <w:r w:rsidR="00E621EE" w:rsidRPr="004061FA">
        <w:rPr>
          <w:sz w:val="28"/>
          <w:szCs w:val="28"/>
        </w:rPr>
        <w:t xml:space="preserve">xem xét, </w:t>
      </w:r>
      <w:r w:rsidRPr="004061FA">
        <w:rPr>
          <w:sz w:val="28"/>
          <w:szCs w:val="28"/>
        </w:rPr>
        <w:t>cho ý kiến để UBND tỉnh triển khai thực hiện theo quy</w:t>
      </w:r>
      <w:r w:rsidR="00E621EE" w:rsidRPr="004061FA">
        <w:rPr>
          <w:sz w:val="28"/>
          <w:szCs w:val="28"/>
        </w:rPr>
        <w:t xml:space="preserve"> định</w:t>
      </w:r>
      <w:proofErr w:type="gramStart"/>
      <w:r w:rsidR="00E621EE" w:rsidRPr="004061FA">
        <w:rPr>
          <w:sz w:val="28"/>
          <w:szCs w:val="28"/>
        </w:rPr>
        <w:t>./</w:t>
      </w:r>
      <w:proofErr w:type="gramEnd"/>
      <w:r w:rsidR="00E621EE" w:rsidRPr="004061FA">
        <w:rPr>
          <w:sz w:val="28"/>
          <w:szCs w:val="28"/>
        </w:rPr>
        <w:t>.</w:t>
      </w:r>
    </w:p>
    <w:p w:rsidR="00F4228D" w:rsidRPr="00F4228D" w:rsidRDefault="00F4228D" w:rsidP="004061FA">
      <w:pPr>
        <w:spacing w:after="0" w:line="264" w:lineRule="auto"/>
        <w:ind w:firstLine="720"/>
        <w:jc w:val="both"/>
        <w:rPr>
          <w:sz w:val="24"/>
          <w:szCs w:val="28"/>
        </w:rPr>
      </w:pPr>
    </w:p>
    <w:tbl>
      <w:tblPr>
        <w:tblW w:w="9240" w:type="dxa"/>
        <w:tblInd w:w="108" w:type="dxa"/>
        <w:tblLook w:val="01E0" w:firstRow="1" w:lastRow="1" w:firstColumn="1" w:lastColumn="1" w:noHBand="0" w:noVBand="0"/>
      </w:tblPr>
      <w:tblGrid>
        <w:gridCol w:w="4528"/>
        <w:gridCol w:w="4712"/>
      </w:tblGrid>
      <w:tr w:rsidR="007108A6" w:rsidRPr="001137D0" w:rsidTr="00454EDE">
        <w:tc>
          <w:tcPr>
            <w:tcW w:w="4528" w:type="dxa"/>
            <w:shd w:val="clear" w:color="auto" w:fill="auto"/>
          </w:tcPr>
          <w:p w:rsidR="007108A6" w:rsidRPr="007108A6" w:rsidRDefault="007108A6" w:rsidP="00454EDE">
            <w:pPr>
              <w:spacing w:after="0" w:line="240" w:lineRule="auto"/>
              <w:ind w:left="-108" w:right="30"/>
              <w:jc w:val="both"/>
              <w:rPr>
                <w:b/>
                <w:bCs/>
                <w:sz w:val="20"/>
                <w:szCs w:val="20"/>
              </w:rPr>
            </w:pPr>
            <w:r>
              <w:br w:type="page"/>
            </w:r>
            <w:r w:rsidRPr="007108A6">
              <w:rPr>
                <w:b/>
                <w:bCs/>
                <w:i/>
                <w:iCs/>
                <w:sz w:val="20"/>
                <w:szCs w:val="20"/>
              </w:rPr>
              <w:t>Nơi nhận</w:t>
            </w:r>
            <w:r w:rsidRPr="007108A6">
              <w:rPr>
                <w:sz w:val="20"/>
                <w:szCs w:val="20"/>
              </w:rPr>
              <w:t>:</w:t>
            </w:r>
            <w:r w:rsidRPr="007108A6">
              <w:rPr>
                <w:b/>
                <w:bCs/>
                <w:sz w:val="20"/>
                <w:szCs w:val="20"/>
              </w:rPr>
              <w:t xml:space="preserve">  </w:t>
            </w:r>
          </w:p>
          <w:p w:rsidR="001E5263" w:rsidRPr="001E5263" w:rsidRDefault="001E5263" w:rsidP="001E5263">
            <w:pPr>
              <w:tabs>
                <w:tab w:val="center" w:pos="2214"/>
              </w:tabs>
              <w:spacing w:after="0" w:line="252" w:lineRule="auto"/>
              <w:jc w:val="both"/>
              <w:rPr>
                <w:sz w:val="22"/>
              </w:rPr>
            </w:pPr>
            <w:r w:rsidRPr="001E5263">
              <w:rPr>
                <w:sz w:val="22"/>
              </w:rPr>
              <w:t>- Như trên;</w:t>
            </w:r>
            <w:r w:rsidRPr="001E5263">
              <w:rPr>
                <w:sz w:val="22"/>
              </w:rPr>
              <w:tab/>
            </w:r>
          </w:p>
          <w:p w:rsidR="001E5263" w:rsidRPr="001E5263" w:rsidRDefault="001E5263" w:rsidP="001E5263">
            <w:pPr>
              <w:spacing w:after="0" w:line="252" w:lineRule="auto"/>
              <w:jc w:val="both"/>
              <w:rPr>
                <w:sz w:val="22"/>
              </w:rPr>
            </w:pPr>
            <w:r w:rsidRPr="001E5263">
              <w:rPr>
                <w:sz w:val="22"/>
              </w:rPr>
              <w:t>- Chủ tịch UBND tỉnh;</w:t>
            </w:r>
          </w:p>
          <w:p w:rsidR="001E5263" w:rsidRPr="001E5263" w:rsidRDefault="001E5263" w:rsidP="001E5263">
            <w:pPr>
              <w:spacing w:after="0" w:line="252" w:lineRule="auto"/>
              <w:jc w:val="both"/>
              <w:rPr>
                <w:sz w:val="22"/>
              </w:rPr>
            </w:pPr>
            <w:r w:rsidRPr="001E5263">
              <w:rPr>
                <w:sz w:val="22"/>
              </w:rPr>
              <w:t>- PCT UBND tỉnh;</w:t>
            </w:r>
          </w:p>
          <w:p w:rsidR="001E5263" w:rsidRDefault="001E5263" w:rsidP="001E5263">
            <w:pPr>
              <w:spacing w:after="0" w:line="252" w:lineRule="auto"/>
              <w:jc w:val="both"/>
              <w:rPr>
                <w:sz w:val="22"/>
              </w:rPr>
            </w:pPr>
            <w:r w:rsidRPr="001E5263">
              <w:rPr>
                <w:sz w:val="22"/>
              </w:rPr>
              <w:t>- CVP, PCVP UBND tỉnh;</w:t>
            </w:r>
          </w:p>
          <w:p w:rsidR="004061FA" w:rsidRDefault="004061FA" w:rsidP="001E5263">
            <w:pPr>
              <w:spacing w:after="0" w:line="252" w:lineRule="auto"/>
              <w:jc w:val="both"/>
              <w:rPr>
                <w:sz w:val="22"/>
              </w:rPr>
            </w:pPr>
            <w:r>
              <w:rPr>
                <w:sz w:val="22"/>
              </w:rPr>
              <w:t xml:space="preserve">- Các Sở: Giáo dục và Đào tạo; </w:t>
            </w:r>
          </w:p>
          <w:p w:rsidR="004061FA" w:rsidRDefault="004061FA" w:rsidP="001E5263">
            <w:pPr>
              <w:spacing w:after="0" w:line="252" w:lineRule="auto"/>
              <w:jc w:val="both"/>
              <w:rPr>
                <w:sz w:val="22"/>
              </w:rPr>
            </w:pPr>
            <w:r>
              <w:rPr>
                <w:sz w:val="22"/>
              </w:rPr>
              <w:t>Trường ĐH Hồng Đức; Trường ĐH</w:t>
            </w:r>
          </w:p>
          <w:p w:rsidR="004061FA" w:rsidRDefault="004061FA" w:rsidP="001E5263">
            <w:pPr>
              <w:spacing w:after="0" w:line="252" w:lineRule="auto"/>
              <w:jc w:val="both"/>
              <w:rPr>
                <w:sz w:val="22"/>
              </w:rPr>
            </w:pPr>
            <w:r>
              <w:rPr>
                <w:sz w:val="22"/>
              </w:rPr>
              <w:t>Văn hóa, Thể thao và Du lịch; Trường</w:t>
            </w:r>
          </w:p>
          <w:p w:rsidR="004061FA" w:rsidRPr="001E5263" w:rsidRDefault="004061FA" w:rsidP="001E5263">
            <w:pPr>
              <w:spacing w:after="0" w:line="252" w:lineRule="auto"/>
              <w:jc w:val="both"/>
              <w:rPr>
                <w:sz w:val="22"/>
              </w:rPr>
            </w:pPr>
            <w:r>
              <w:rPr>
                <w:sz w:val="22"/>
              </w:rPr>
              <w:t>CĐ Công nghiệp; Trường CĐ Nông nghiệp.</w:t>
            </w:r>
          </w:p>
          <w:p w:rsidR="001E5263" w:rsidRDefault="001E5263" w:rsidP="001E5263">
            <w:pPr>
              <w:spacing w:after="0" w:line="240" w:lineRule="auto"/>
              <w:ind w:left="-108" w:right="30"/>
              <w:jc w:val="both"/>
            </w:pPr>
            <w:r>
              <w:rPr>
                <w:sz w:val="22"/>
              </w:rPr>
              <w:t xml:space="preserve">  </w:t>
            </w:r>
            <w:r w:rsidRPr="001E5263">
              <w:rPr>
                <w:sz w:val="22"/>
              </w:rPr>
              <w:t xml:space="preserve">- </w:t>
            </w:r>
            <w:proofErr w:type="gramStart"/>
            <w:r w:rsidRPr="001E5263">
              <w:rPr>
                <w:sz w:val="22"/>
              </w:rPr>
              <w:t>Lưu :</w:t>
            </w:r>
            <w:proofErr w:type="gramEnd"/>
            <w:r w:rsidRPr="001E5263">
              <w:rPr>
                <w:sz w:val="22"/>
              </w:rPr>
              <w:t xml:space="preserve"> VT, VX.</w:t>
            </w:r>
          </w:p>
          <w:p w:rsidR="007108A6" w:rsidRPr="0002552A" w:rsidRDefault="007108A6" w:rsidP="00454EDE">
            <w:pPr>
              <w:spacing w:after="0" w:line="240" w:lineRule="auto"/>
              <w:ind w:left="-108"/>
              <w:rPr>
                <w:i/>
                <w:iCs/>
                <w:sz w:val="32"/>
                <w:szCs w:val="32"/>
              </w:rPr>
            </w:pPr>
          </w:p>
        </w:tc>
        <w:tc>
          <w:tcPr>
            <w:tcW w:w="4712" w:type="dxa"/>
            <w:shd w:val="clear" w:color="auto" w:fill="auto"/>
          </w:tcPr>
          <w:p w:rsidR="007108A6" w:rsidRDefault="001E5263" w:rsidP="00454EDE">
            <w:pPr>
              <w:spacing w:after="0" w:line="240" w:lineRule="auto"/>
              <w:ind w:right="30"/>
              <w:jc w:val="center"/>
              <w:rPr>
                <w:b/>
                <w:bCs/>
                <w:sz w:val="28"/>
                <w:szCs w:val="28"/>
              </w:rPr>
            </w:pPr>
            <w:r>
              <w:rPr>
                <w:b/>
                <w:bCs/>
                <w:sz w:val="28"/>
                <w:szCs w:val="28"/>
              </w:rPr>
              <w:t>TM</w:t>
            </w:r>
            <w:r w:rsidR="007108A6">
              <w:rPr>
                <w:b/>
                <w:bCs/>
                <w:sz w:val="28"/>
                <w:szCs w:val="28"/>
              </w:rPr>
              <w:t xml:space="preserve">. </w:t>
            </w:r>
            <w:r>
              <w:rPr>
                <w:b/>
                <w:bCs/>
                <w:sz w:val="28"/>
                <w:szCs w:val="28"/>
              </w:rPr>
              <w:t>UBND TỈNH</w:t>
            </w:r>
          </w:p>
          <w:p w:rsidR="007108A6" w:rsidRPr="0002552A" w:rsidRDefault="007108A6" w:rsidP="00454EDE">
            <w:pPr>
              <w:spacing w:after="0" w:line="240" w:lineRule="auto"/>
              <w:ind w:right="30"/>
              <w:rPr>
                <w:b/>
                <w:sz w:val="28"/>
                <w:szCs w:val="28"/>
              </w:rPr>
            </w:pPr>
          </w:p>
          <w:p w:rsidR="007108A6" w:rsidRDefault="007108A6" w:rsidP="00454EDE">
            <w:pPr>
              <w:spacing w:after="0" w:line="240" w:lineRule="auto"/>
              <w:ind w:right="30"/>
              <w:rPr>
                <w:b/>
                <w:sz w:val="28"/>
                <w:szCs w:val="28"/>
              </w:rPr>
            </w:pPr>
          </w:p>
          <w:p w:rsidR="007108A6" w:rsidRDefault="007108A6" w:rsidP="00454EDE">
            <w:pPr>
              <w:spacing w:after="0" w:line="240" w:lineRule="auto"/>
              <w:ind w:right="30"/>
              <w:rPr>
                <w:b/>
                <w:sz w:val="28"/>
                <w:szCs w:val="28"/>
              </w:rPr>
            </w:pPr>
          </w:p>
          <w:p w:rsidR="007108A6" w:rsidRPr="0002552A" w:rsidRDefault="007108A6" w:rsidP="00454EDE">
            <w:pPr>
              <w:spacing w:after="0" w:line="240" w:lineRule="auto"/>
              <w:ind w:right="30"/>
              <w:rPr>
                <w:b/>
                <w:sz w:val="28"/>
                <w:szCs w:val="28"/>
              </w:rPr>
            </w:pPr>
          </w:p>
          <w:p w:rsidR="007108A6" w:rsidRPr="0002552A" w:rsidRDefault="007108A6" w:rsidP="00454EDE">
            <w:pPr>
              <w:spacing w:after="0" w:line="240" w:lineRule="auto"/>
              <w:ind w:right="30"/>
              <w:rPr>
                <w:b/>
                <w:sz w:val="28"/>
                <w:szCs w:val="28"/>
              </w:rPr>
            </w:pPr>
          </w:p>
          <w:p w:rsidR="007108A6" w:rsidRPr="0002552A" w:rsidRDefault="007108A6" w:rsidP="00454EDE">
            <w:pPr>
              <w:spacing w:after="0" w:line="240" w:lineRule="auto"/>
              <w:ind w:right="30"/>
              <w:jc w:val="center"/>
              <w:rPr>
                <w:b/>
                <w:sz w:val="28"/>
                <w:szCs w:val="28"/>
              </w:rPr>
            </w:pPr>
          </w:p>
        </w:tc>
      </w:tr>
    </w:tbl>
    <w:p w:rsidR="007108A6" w:rsidRDefault="007108A6"/>
    <w:p w:rsidR="007108A6" w:rsidRDefault="007108A6"/>
    <w:sectPr w:rsidR="007108A6" w:rsidSect="00B14393">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4C0"/>
    <w:multiLevelType w:val="hybridMultilevel"/>
    <w:tmpl w:val="2E8295C6"/>
    <w:lvl w:ilvl="0" w:tplc="F4F61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C12005"/>
    <w:multiLevelType w:val="hybridMultilevel"/>
    <w:tmpl w:val="28905F62"/>
    <w:lvl w:ilvl="0" w:tplc="2A649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D2020E"/>
    <w:multiLevelType w:val="multilevel"/>
    <w:tmpl w:val="286CF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EE"/>
    <w:rsid w:val="00016CA3"/>
    <w:rsid w:val="0004127B"/>
    <w:rsid w:val="00065693"/>
    <w:rsid w:val="00077924"/>
    <w:rsid w:val="00091D24"/>
    <w:rsid w:val="000B50BC"/>
    <w:rsid w:val="000E02E8"/>
    <w:rsid w:val="000E3F76"/>
    <w:rsid w:val="001140EA"/>
    <w:rsid w:val="00162356"/>
    <w:rsid w:val="001647CB"/>
    <w:rsid w:val="001E5263"/>
    <w:rsid w:val="0022604D"/>
    <w:rsid w:val="00285CB8"/>
    <w:rsid w:val="002928AA"/>
    <w:rsid w:val="002B5883"/>
    <w:rsid w:val="002D3C7C"/>
    <w:rsid w:val="002D48C9"/>
    <w:rsid w:val="002F29DB"/>
    <w:rsid w:val="00326F39"/>
    <w:rsid w:val="00375141"/>
    <w:rsid w:val="003A54C3"/>
    <w:rsid w:val="003B671A"/>
    <w:rsid w:val="003C324E"/>
    <w:rsid w:val="003E157E"/>
    <w:rsid w:val="004061FA"/>
    <w:rsid w:val="00412FEE"/>
    <w:rsid w:val="004169F9"/>
    <w:rsid w:val="00454EDE"/>
    <w:rsid w:val="004D7FAA"/>
    <w:rsid w:val="00573951"/>
    <w:rsid w:val="00583CCB"/>
    <w:rsid w:val="005A2DC2"/>
    <w:rsid w:val="005F4FF2"/>
    <w:rsid w:val="00660B73"/>
    <w:rsid w:val="0067611E"/>
    <w:rsid w:val="00702BE7"/>
    <w:rsid w:val="007108A6"/>
    <w:rsid w:val="0073340D"/>
    <w:rsid w:val="00733F72"/>
    <w:rsid w:val="00755901"/>
    <w:rsid w:val="00773EE2"/>
    <w:rsid w:val="007D635C"/>
    <w:rsid w:val="007D7974"/>
    <w:rsid w:val="00845396"/>
    <w:rsid w:val="00883175"/>
    <w:rsid w:val="00887C4D"/>
    <w:rsid w:val="008A42CF"/>
    <w:rsid w:val="008B35EB"/>
    <w:rsid w:val="008B3DD8"/>
    <w:rsid w:val="008C2E06"/>
    <w:rsid w:val="008C7527"/>
    <w:rsid w:val="00921A8B"/>
    <w:rsid w:val="0092324D"/>
    <w:rsid w:val="00937193"/>
    <w:rsid w:val="00960A42"/>
    <w:rsid w:val="00AC5793"/>
    <w:rsid w:val="00B14393"/>
    <w:rsid w:val="00B96C25"/>
    <w:rsid w:val="00BB36DA"/>
    <w:rsid w:val="00BB62B0"/>
    <w:rsid w:val="00BF6D7E"/>
    <w:rsid w:val="00CF0338"/>
    <w:rsid w:val="00CF2270"/>
    <w:rsid w:val="00D65B95"/>
    <w:rsid w:val="00D66820"/>
    <w:rsid w:val="00DD5482"/>
    <w:rsid w:val="00DD6843"/>
    <w:rsid w:val="00E00B78"/>
    <w:rsid w:val="00E54F5C"/>
    <w:rsid w:val="00E621EE"/>
    <w:rsid w:val="00E70BA2"/>
    <w:rsid w:val="00EE691C"/>
    <w:rsid w:val="00F20014"/>
    <w:rsid w:val="00F4228D"/>
    <w:rsid w:val="00FB4504"/>
    <w:rsid w:val="00FB4BEE"/>
    <w:rsid w:val="00FE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EE"/>
    <w:pPr>
      <w:ind w:left="720"/>
      <w:contextualSpacing/>
    </w:pPr>
  </w:style>
  <w:style w:type="character" w:customStyle="1" w:styleId="fontstyle01">
    <w:name w:val="fontstyle01"/>
    <w:basedOn w:val="DefaultParagraphFont"/>
    <w:rsid w:val="00065693"/>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rsid w:val="000E02E8"/>
    <w:rPr>
      <w:rFonts w:eastAsia="Times New Roman" w:cs="Times New Roman"/>
      <w:sz w:val="28"/>
      <w:szCs w:val="28"/>
    </w:rPr>
  </w:style>
  <w:style w:type="paragraph" w:styleId="BodyText">
    <w:name w:val="Body Text"/>
    <w:basedOn w:val="Normal"/>
    <w:link w:val="BodyTextChar"/>
    <w:qFormat/>
    <w:rsid w:val="000E02E8"/>
    <w:pPr>
      <w:widowControl w:val="0"/>
      <w:spacing w:after="0" w:line="288"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rsid w:val="000E02E8"/>
  </w:style>
  <w:style w:type="character" w:styleId="Hyperlink">
    <w:name w:val="Hyperlink"/>
    <w:basedOn w:val="DefaultParagraphFont"/>
    <w:uiPriority w:val="99"/>
    <w:semiHidden/>
    <w:unhideWhenUsed/>
    <w:rsid w:val="00CF2270"/>
    <w:rPr>
      <w:color w:val="0000FF"/>
      <w:u w:val="single"/>
    </w:rPr>
  </w:style>
  <w:style w:type="paragraph" w:styleId="NormalWeb">
    <w:name w:val="Normal (Web)"/>
    <w:basedOn w:val="Normal"/>
    <w:uiPriority w:val="99"/>
    <w:unhideWhenUsed/>
    <w:rsid w:val="00702BE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F4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EE"/>
    <w:pPr>
      <w:ind w:left="720"/>
      <w:contextualSpacing/>
    </w:pPr>
  </w:style>
  <w:style w:type="character" w:customStyle="1" w:styleId="fontstyle01">
    <w:name w:val="fontstyle01"/>
    <w:basedOn w:val="DefaultParagraphFont"/>
    <w:rsid w:val="00065693"/>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rsid w:val="000E02E8"/>
    <w:rPr>
      <w:rFonts w:eastAsia="Times New Roman" w:cs="Times New Roman"/>
      <w:sz w:val="28"/>
      <w:szCs w:val="28"/>
    </w:rPr>
  </w:style>
  <w:style w:type="paragraph" w:styleId="BodyText">
    <w:name w:val="Body Text"/>
    <w:basedOn w:val="Normal"/>
    <w:link w:val="BodyTextChar"/>
    <w:qFormat/>
    <w:rsid w:val="000E02E8"/>
    <w:pPr>
      <w:widowControl w:val="0"/>
      <w:spacing w:after="0" w:line="288" w:lineRule="auto"/>
      <w:ind w:firstLine="400"/>
    </w:pPr>
    <w:rPr>
      <w:rFonts w:eastAsia="Times New Roman" w:cs="Times New Roman"/>
      <w:sz w:val="28"/>
      <w:szCs w:val="28"/>
    </w:rPr>
  </w:style>
  <w:style w:type="character" w:customStyle="1" w:styleId="BodyTextChar1">
    <w:name w:val="Body Text Char1"/>
    <w:basedOn w:val="DefaultParagraphFont"/>
    <w:uiPriority w:val="99"/>
    <w:semiHidden/>
    <w:rsid w:val="000E02E8"/>
  </w:style>
  <w:style w:type="character" w:styleId="Hyperlink">
    <w:name w:val="Hyperlink"/>
    <w:basedOn w:val="DefaultParagraphFont"/>
    <w:uiPriority w:val="99"/>
    <w:semiHidden/>
    <w:unhideWhenUsed/>
    <w:rsid w:val="00CF2270"/>
    <w:rPr>
      <w:color w:val="0000FF"/>
      <w:u w:val="single"/>
    </w:rPr>
  </w:style>
  <w:style w:type="paragraph" w:styleId="NormalWeb">
    <w:name w:val="Normal (Web)"/>
    <w:basedOn w:val="Normal"/>
    <w:uiPriority w:val="99"/>
    <w:unhideWhenUsed/>
    <w:rsid w:val="00702BE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F4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84B01-6280-408F-84A6-630EBBFC8D76}"/>
</file>

<file path=customXml/itemProps2.xml><?xml version="1.0" encoding="utf-8"?>
<ds:datastoreItem xmlns:ds="http://schemas.openxmlformats.org/officeDocument/2006/customXml" ds:itemID="{CA346C98-3944-41DF-A0C8-81A43B06BAD8}"/>
</file>

<file path=customXml/itemProps3.xml><?xml version="1.0" encoding="utf-8"?>
<ds:datastoreItem xmlns:ds="http://schemas.openxmlformats.org/officeDocument/2006/customXml" ds:itemID="{3994A412-38CB-4C55-8E3A-6778C0F6B099}"/>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2024-01-18T07:23:00Z</cp:lastPrinted>
  <dcterms:created xsi:type="dcterms:W3CDTF">2024-02-22T08:33:00Z</dcterms:created>
  <dcterms:modified xsi:type="dcterms:W3CDTF">2024-02-22T08:33:00Z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